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EJERCICIOS TABLA ANOVA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Cargar los datos de House Prices.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 análisis </w:t>
      </w:r>
      <w:r w:rsidDel="00000000" w:rsidR="00000000" w:rsidRPr="00000000">
        <w:rPr>
          <w:sz w:val="24"/>
          <w:szCs w:val="24"/>
          <w:rtl w:val="0"/>
        </w:rPr>
        <w:t xml:space="preserve">gráfico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analizar el efecto de la variable MSZoning en el precio de venta.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la tabla ANOVA para determinar si la variable MSZoning afecta al precio de venta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en contraste de Tuckey para determinar </w:t>
      </w:r>
      <w:r w:rsidDel="00000000" w:rsidR="00000000" w:rsidRPr="00000000">
        <w:rPr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valores de MSZoning muestran diferencias significativas en el precio de venta.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 análisis </w:t>
      </w:r>
      <w:r w:rsidDel="00000000" w:rsidR="00000000" w:rsidRPr="00000000">
        <w:rPr>
          <w:sz w:val="24"/>
          <w:szCs w:val="24"/>
          <w:rtl w:val="0"/>
        </w:rPr>
        <w:t xml:space="preserve">gráfico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analizar el efecto de la variable Crisis en el precio de venta.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la tabla ANOVA para determinar si la variable Crisis afecta al precio de venta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en contraste de Tuckey para determinar </w:t>
      </w:r>
      <w:r w:rsidDel="00000000" w:rsidR="00000000" w:rsidRPr="00000000">
        <w:rPr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valores de Crisis muestran diferencias significativas en el precio de venta.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 análisis </w:t>
      </w:r>
      <w:r w:rsidDel="00000000" w:rsidR="00000000" w:rsidRPr="00000000">
        <w:rPr>
          <w:sz w:val="24"/>
          <w:szCs w:val="24"/>
          <w:rtl w:val="0"/>
        </w:rPr>
        <w:t xml:space="preserve">gráfico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analizar el efecto de las variables Crisis y MSZoning en el precio de venta.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la tabla ANOVA para determinar si las variables Crisis y MSZoning afectan al precio de venta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en contraste de Tuckey para determinar </w:t>
      </w:r>
      <w:r w:rsidDel="00000000" w:rsidR="00000000" w:rsidRPr="00000000">
        <w:rPr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valores de Crisis y MSZoning muestran diferencias significativas en el precio de venta.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136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K1h0MKRE7saAUmTV0XS5EDyFNQ==">CgMxLjA4AHIhMXB2ekJNalV6Qi1NdnM0Sjl6S280aWkyRjZBZ0hKTnFa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2024-12-09T22:22:00Z</dcterms:created>
  <dc:creator>Borja Balparda</dc:creator>
</cp:coreProperties>
</file>