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4E79"/>
          <w:sz w:val="72"/>
          <w:szCs w:val="72"/>
        </w:rPr>
        <w:t xml:space="preserve">SENTINELA</w:t>
      </w:r>
    </w:p>
    <w:p>
      <w:pPr>
        <w:spacing w:after="360"/>
        <w:jc w:val="center"/>
      </w:pPr>
      <w:r>
        <w:rPr>
          <w:b/>
          <w:bCs/>
          <w:color w:val="595959"/>
          <w:sz w:val="30"/>
          <w:szCs w:val="30"/>
        </w:rPr>
        <w:t xml:space="preserve">Sistema de Vigilância Orbital Inteligente para Defesa e Soberania</w:t>
      </w:r>
    </w:p>
    <w:p>
      <w:pPr>
        <w:spacing w:after="120"/>
        <w:jc w:val="center"/>
      </w:pPr>
      <w:r>
        <w:rPr>
          <w:sz w:val="26"/>
          <w:szCs w:val="26"/>
        </w:rPr>
        <w:t xml:space="preserve">Prova de Conceito (POC) — Global Solution 2026.1</w:t>
      </w:r>
    </w:p>
    <w:p>
      <w:pPr>
        <w:spacing w:after="500"/>
        <w:jc w:val="center"/>
      </w:pPr>
      <w:r>
        <w:rPr>
          <w:i/>
          <w:iCs/>
          <w:color w:val="595959"/>
          <w:sz w:val="22"/>
          <w:szCs w:val="22"/>
        </w:rPr>
        <w:t xml:space="preserve">Tema: A Nova Economia Espacial e seu impacto positivo na Terra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FIAP — Inteligência Artificial (1TIAO) · Fase 7</w:t>
      </w:r>
    </w:p>
    <w:p>
      <w:pPr>
        <w:spacing w:after="300"/>
        <w:jc w:val="center"/>
      </w:pPr>
      <w:r>
        <w:rPr>
          <w:b/>
          <w:bCs/>
          <w:sz w:val="24"/>
          <w:szCs w:val="24"/>
        </w:rPr>
        <w:t xml:space="preserve">Grupo 37</w:t>
      </w:r>
    </w:p>
    <w:p>
      <w:pPr>
        <w:spacing w:after="40"/>
        <w:jc w:val="center"/>
      </w:pPr>
      <w:r>
        <w:rPr>
          <w:color w:val="595959"/>
          <w:sz w:val="20"/>
          <w:szCs w:val="20"/>
        </w:rPr>
        <w:t xml:space="preserve">Integrante</w:t>
      </w:r>
    </w:p>
    <w:p>
      <w:pPr>
        <w:spacing w:after="500"/>
        <w:jc w:val="center"/>
      </w:pPr>
      <w:r>
        <w:rPr>
          <w:b/>
          <w:bCs/>
          <w:sz w:val="24"/>
          <w:szCs w:val="24"/>
        </w:rPr>
        <w:t xml:space="preserve">Silvio Prestes Guerreiro Junior — RM 567958</w:t>
      </w:r>
    </w:p>
    <w:p>
      <w:pPr>
        <w:spacing w:after="120"/>
        <w:jc w:val="center"/>
      </w:pPr>
      <w:r>
        <w:rPr>
          <w:sz w:val="20"/>
          <w:szCs w:val="20"/>
        </w:rPr>
        <w:t xml:space="preserve">Repositório: </w:t>
      </w:r>
      <w:hyperlink w:history="1" r:id="rIdaudi0we2iv67h7nviehgh">
        <w:r>
          <w:rPr>
            <w:rStyle w:val="Hyperlink"/>
            <w:sz w:val="22"/>
            <w:szCs w:val="22"/>
          </w:rPr>
          <w:t xml:space="preserve">github.com/silvioguerreiro/1TIAOS_2026_FASE_7_GS2</w:t>
        </w:r>
      </w:hyperlink>
    </w:p>
    <w:p>
      <w:pPr>
        <w:spacing w:before="400"/>
        <w:jc w:val="center"/>
      </w:pPr>
      <w:r>
        <w:rPr>
          <w:color w:val="595959"/>
          <w:sz w:val="20"/>
          <w:szCs w:val="20"/>
        </w:rPr>
        <w:t xml:space="preserve">São Paulo · Junho de 2026</w:t>
      </w:r>
    </w:p>
    <w:p>
      <w:r>
        <w:br w:type="page"/>
      </w:r>
    </w:p>
    <w:p>
      <w:pPr>
        <w:pStyle w:val="Heading1"/>
        <w:spacing w:after="140" w:before="280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t xml:space="preserve">1. Introdução</w:t>
      </w:r>
    </w:p>
    <w:p>
      <w:pPr>
        <w:pStyle w:val="Heading2"/>
        <w:spacing w:after="100" w:before="220"/>
      </w:pPr>
      <w:r>
        <w:t xml:space="preserve">1.1 Contexto: a nova economia espacial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 exploração espacial deixou de ser apenas científica e tornou-se uma das maiores oportunidades tecnológicas, econômicas e estratégicas da atualidade. Satélites monitoram o clima, apoiam o agronegócio, realizam rastreamento global, auxiliam na prevenção de desastres e produzem enormes volumes de dados utilizados por governos, empresas e centros de pesquisa. Tecnologias originalmente desenvolvidas para missões espaciais impulsionaram avanços em Inteligência Artificial, sensores, automação, computação em nuvem, visão computacional e telecomunicações.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É nesse cenário que se insere a Global Solution 2026.1, que desafia os alunos a desenvolver soluções tecnológicas conectadas ao universo da economia espacial e capazes de gerar impacto positivo na Terra.</w:t>
      </w:r>
    </w:p>
    <w:p>
      <w:pPr>
        <w:pStyle w:val="Heading2"/>
        <w:spacing w:after="100" w:before="220"/>
      </w:pPr>
      <w:r>
        <w:t xml:space="preserve">1.2 Problema e pergunta norteadora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 Brasil possui dimensão continental: cerca de 8,5 milhões de km² de território, aproximadamente 16,8 mil km de fronteiras terrestres e cerca de 5,7 milhões de km² de Águas Jurisdicionais Brasileiras (a chamada “Amazônia Azul”), além de abrigar a maior floresta tropical do planeta. Fiscalizar manualmente essa extensão é inviável. Os satélites geram um volume massivo de imagens, mas o verdadeiro gargalo está em transformar pixels em decisão acionável e em tempo hábil.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Pergunta norteadora: </w:t>
      </w:r>
      <w:r>
        <w:rPr>
          <w:i/>
          <w:iCs/>
          <w:sz w:val="22"/>
          <w:szCs w:val="22"/>
        </w:rPr>
        <w:t xml:space="preserve">como a Inteligência Artificial e as tecnologias digitais podem transformar a nova economia espacial e gerar impacto positivo na Terra?</w:t>
      </w:r>
    </w:p>
    <w:p>
      <w:pPr>
        <w:pStyle w:val="Heading2"/>
        <w:spacing w:after="100" w:before="220"/>
      </w:pPr>
      <w:r>
        <w:t xml:space="preserve">1.3 Objetivo e proposta de valor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 projeto SENTINELA é uma plataforma de vigilância orbital inteligente que utiliza IA para converter imagens de satélite e dados públicos em detecções geolocalizadas e alertas acionáveis. A POC concentra-se no monitoramento da Amazônia — detecção de mineração ilegal, queimadas e desmatamento — e foi projetada para escalar a outras aplicações estratégicas previstas no conceito: combate ao tráfico, atualização cartográfica, navegabilidade de rios, vigilância da Zona Econômica Exclusiva (ZEE) e controle de fronteiras, fortalecendo a defesa do espaço aéreo, das fronteiras terrestres e das Águas Jurisdicionais Brasileiras.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Impacto na Terra: </w:t>
      </w:r>
      <w:r>
        <w:rPr>
          <w:sz w:val="22"/>
          <w:szCs w:val="22"/>
        </w:rPr>
        <w:t xml:space="preserve">proteção ambiental (Amazônia e clima), combate a crimes ambientais, resposta rápida a desastres naturais e reforço da soberania nacional — tudo a partir de dados públicos e com IA responsável e rastreável.</w:t>
      </w:r>
    </w:p>
    <w:p>
      <w:pPr>
        <w:pStyle w:val="Heading1"/>
        <w:spacing w:after="140" w:before="280"/>
      </w:pPr>
      <w:r>
        <w:t xml:space="preserve">2. Desenvolvimento</w:t>
      </w:r>
    </w:p>
    <w:p>
      <w:pPr>
        <w:pStyle w:val="Heading2"/>
        <w:spacing w:after="100" w:before="220"/>
      </w:pPr>
      <w:r>
        <w:t xml:space="preserve">2.1 Visão geral da solução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 SENTINELA é uma plataforma modular que encadeia ingestão de dados, núcleo de Inteligência Artificial, orquestração em nuvem, API e dashboard de comando, complementada por sensores de campo (IoT) e uma camada de governança. O fluxo vai da imagem orbital até o alerta priorizado e a rota de fiscalização otimizada, integrando de forma coerente cerca de onze disciplinas do curso.</w:t>
      </w:r>
    </w:p>
    <w:p>
      <w:pPr>
        <w:pStyle w:val="Heading2"/>
        <w:spacing w:after="100" w:before="220"/>
      </w:pPr>
      <w:r>
        <w:t xml:space="preserve">2.2 Arquitetura da solução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4953000"/>
            <wp:effectExtent t="0" r="0" b="0" l="0"/>
            <wp:docPr id="1" name="Figura 1 — Arquitetura em camadas do SENTINELA (azul = funcional; laranja* = simulado na POC)." descr="Figura 1 — Arquitetura em camadas do SENTINELA (azul = funcional; laranja* = simulado na POC)." title="Figura 1 — Arquitetura em camadas do SENTINELA (azul = funcional; laranja* = simulado na POC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Figura 1 — Arquitetura em camadas do SENTINELA (azul = funcional; laranja* = simulado na POC).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Componentes principais: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Fontes orbitais: dados públicos (Sentinel-2/Copernicus, Landsat, MODIS/NDVI, NASA FIRMS e datasets do Kaggle).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Ingestão/Pipeline: ETL em Python que padroniza imagens e metadados.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Armazenamento: objetos em S3 (simulado), detecções em PostgreSQL (SQL) e telemetria de sensores em MongoDB (NoSQL).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Núcleo de IA: visão computacional (CNN/YOLO), previsão por RNN/LSTM, georreferenciamento, algoritmo genético, recomendação e serviço cognitivo (simulado).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Orquestração serverless (simulada): funções Lambda disparadas por eventos, filas SQS, notificações SNS e logs de monitoramento (CloudWatch).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API REST (FastAPI), Alertas por voz (TTS) e Dashboard de comando (Streamlit).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Edge/IoT (simulado): sensor ESP32 de validação em solo (Wokwi).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Governança: auditoria, conformidade com a LGPD, ética de vigilância e cibersegurança.</w:t>
      </w:r>
    </w:p>
    <w:p>
      <w:pPr>
        <w:pStyle w:val="Heading2"/>
        <w:spacing w:after="100" w:before="220"/>
      </w:pPr>
      <w:r>
        <w:t xml:space="preserve">2.3 Fluxo de dados de ponta a ponta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 imagem de satélite chega à ingestão e é gravada no armazenamento, disparando uma função serverless simulada. O núcleo de IA executa a CNN para classificar cada célula da cena e detectar anomalias (mineração, queimada). Cada detecção é georreferenciada (convertida em latitude/longitude) e persistida em banco; a telemetria do sensor de campo valida o evento. A RNN/LSTM projeta a tendência dos focos, o recomendador prioriza os alertas por severidade e o algoritmo genético calcula a rota ótima de patrulha. A API expõe os resultados e o dashboard apresenta mapa, séries temporais e a fila de alertas, com aviso por voz ao operador. Toda ação é registrada na camada de governança.</w:t>
      </w:r>
    </w:p>
    <w:p>
      <w:pPr>
        <w:pStyle w:val="Heading2"/>
        <w:spacing w:after="100" w:before="220"/>
      </w:pPr>
      <w:r>
        <w:t xml:space="preserve">2.4 Stack tecnológico e fontes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43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2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Disciplina (Fase·Cap)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Visão computacional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TensorFlow/Keras (CNN), OpenCV, YOLO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F6·C9-10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Série temporal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Keras LSTM/RNN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F7·C2, F4·C5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Otimização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Algoritmo Genético (Python)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F7·C4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Recomendação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scikit-learn / heurística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F6·C13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API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FastAPI + Uvicorn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F5/F6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Streamlit + mapas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F4·C4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Bancos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SQLite/PostgreSQL + MongoDB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F3·C7, F5·C3-5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Voz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pyttsx3 (TTS)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F7·C3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Nuvem (simulada)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moto/LocalStack (S3, Lambda, SQS, SNS)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F6·C12, F7·C5-6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Cognitivo (simulado)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Serviço estilo Rekognition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F7·C7</w:t>
            </w:r>
          </w:p>
        </w:tc>
      </w:tr>
      <w:tr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IoT (simulado)</w:t>
            </w:r>
          </w:p>
        </w:tc>
        <w:tc>
          <w:tcPr>
            <w:tcW w:type="dxa" w:w="43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ESP32 + Wi-Fi (Wokwi, C++)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F6·C3, F7·C8</w:t>
            </w:r>
          </w:p>
        </w:tc>
      </w:tr>
    </w:tbl>
    <w:p>
      <w:pPr>
        <w:spacing w:after="120" w:line="276"/>
        <w:jc w:val="both"/>
      </w:pPr>
      <w:r>
        <w:rPr>
          <w:i/>
          <w:iCs/>
          <w:sz w:val="20"/>
          <w:szCs w:val="20"/>
        </w:rPr>
        <w:t xml:space="preserve">Fontes públicas e citáveis: Copernicus/Sentinel-2, USGS Landsat, NASA FIRMS, MODIS NDVI, Kaggle (Airbus Ship Detection), recortes de uso do solo da Amazônia e EuroSAT.</w:t>
      </w:r>
    </w:p>
    <w:p>
      <w:pPr>
        <w:pStyle w:val="Heading2"/>
        <w:spacing w:after="100" w:before="220"/>
      </w:pPr>
      <w:r>
        <w:t xml:space="preserve">2.5 Mapa de integração interdisciplinar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 integração entre disciplinas é o ponto central da nota. A tabela a seguir mostra onde cada eixo do curso entra na solução.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Disciplina / Eixo</w:t>
            </w:r>
          </w:p>
        </w:tc>
        <w:tc>
          <w:tcPr>
            <w:tcW w:type="dxa" w:w="59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Onde entra no SENTINELA</w:t>
            </w:r>
          </w:p>
        </w:tc>
      </w:tr>
      <w:tr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Visão Computacional / CNN / YOLO</w:t>
            </w:r>
          </w:p>
        </w:tc>
        <w:tc>
          <w:tcPr>
            <w:tcW w:type="dxa" w:w="5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Detecção de mineração, queimada e mudança de uso do solo</w:t>
            </w:r>
          </w:p>
        </w:tc>
      </w:tr>
      <w:tr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RNN / Séries Temporais</w:t>
            </w:r>
          </w:p>
        </w:tc>
        <w:tc>
          <w:tcPr>
            <w:tcW w:type="dxa" w:w="5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Previsão da evolução de focos de calor e desmatamento</w:t>
            </w:r>
          </w:p>
        </w:tc>
      </w:tr>
      <w:tr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Algoritmos Genéticos</w:t>
            </w:r>
          </w:p>
        </w:tc>
        <w:tc>
          <w:tcPr>
            <w:tcW w:type="dxa" w:w="5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Otimização da rota de patrulha e fiscalização</w:t>
            </w:r>
          </w:p>
        </w:tc>
      </w:tr>
      <w:tr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Ciência de Dados / Geolocalização</w:t>
            </w:r>
          </w:p>
        </w:tc>
        <w:tc>
          <w:tcPr>
            <w:tcW w:type="dxa" w:w="5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Pipeline, coordenadas e polígonos das detecções</w:t>
            </w:r>
          </w:p>
        </w:tc>
      </w:tr>
      <w:tr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SQL &amp; NoSQL</w:t>
            </w:r>
          </w:p>
        </w:tc>
        <w:tc>
          <w:tcPr>
            <w:tcW w:type="dxa" w:w="5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PostgreSQL (detecções) + MongoDB (telemetria)</w:t>
            </w:r>
          </w:p>
        </w:tc>
      </w:tr>
      <w:tr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Cloud / Serverless / Monitoramento</w:t>
            </w:r>
          </w:p>
        </w:tc>
        <w:tc>
          <w:tcPr>
            <w:tcW w:type="dxa" w:w="5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Orquestração por eventos, filas e alertas</w:t>
            </w:r>
          </w:p>
        </w:tc>
      </w:tr>
      <w:tr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Serviços Cognitivos &amp; Voz</w:t>
            </w:r>
          </w:p>
        </w:tc>
        <w:tc>
          <w:tcPr>
            <w:tcW w:type="dxa" w:w="5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Rotulagem auxiliar e alerta falado ao operador</w:t>
            </w:r>
          </w:p>
        </w:tc>
      </w:tr>
      <w:tr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IoT / ESP32</w:t>
            </w:r>
          </w:p>
        </w:tc>
        <w:tc>
          <w:tcPr>
            <w:tcW w:type="dxa" w:w="5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Sensor de validação em solo (Wokwi)</w:t>
            </w:r>
          </w:p>
        </w:tc>
      </w:tr>
      <w:tr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Dashboards</w:t>
            </w:r>
          </w:p>
        </w:tc>
        <w:tc>
          <w:tcPr>
            <w:tcW w:type="dxa" w:w="5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Painel de comando com mapa e séries</w:t>
            </w:r>
          </w:p>
        </w:tc>
      </w:tr>
      <w:tr>
        <w:tc>
          <w:tcPr>
            <w:tcW w:type="dxa" w:w="3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Cibersegurança &amp; Direito Digital</w:t>
            </w:r>
          </w:p>
        </w:tc>
        <w:tc>
          <w:tcPr>
            <w:tcW w:type="dxa" w:w="5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Auditoria, integridade, LGPD e ética de vigilância</w:t>
            </w:r>
          </w:p>
        </w:tc>
      </w:tr>
    </w:tbl>
    <w:p>
      <w:pPr>
        <w:pStyle w:val="Heading2"/>
        <w:spacing w:after="100" w:before="220"/>
      </w:pPr>
      <w:r>
        <w:t xml:space="preserve">2.6 Módulos e principais trechos de código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Todo o código está em formato texto (sem prints), modularizado e pronto para rodar. A seguir, os trechos mais relevantes. O código completo está no repositório GitHub.</w:t>
      </w:r>
    </w:p>
    <w:p>
      <w:pPr>
        <w:spacing w:after="60" w:line="276"/>
        <w:jc w:val="both"/>
      </w:pPr>
      <w:r>
        <w:rPr>
          <w:b/>
          <w:bCs/>
          <w:sz w:val="22"/>
          <w:szCs w:val="22"/>
        </w:rPr>
        <w:t xml:space="preserve">a) Visão computacional — classificador unificado (CNN Keras com fallback numpy):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F4E79" w:sz="18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build_cnn(num_classes, img_size):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tensorflow.keras import layers, models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 = models.Sequential([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layers.Input((img_size, img_size, 3)),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layers.Conv2D(16, 3, activation="relu", padding="same"),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layers.MaxPooling2D(),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layers.Conv2D(32, 3, activation="relu", padding="same"),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layers.MaxPooling2D(),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layers.Flatten(),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layers.Dense(64, activation="relu"), layers.Dropout(0.3),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layers.Dense(num_classes, activation="softmax"),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m.compile(optimizer="adam",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loss="sparse_categorical_crossentropy", metrics=["accuracy"])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class VisionModel:                # usa Keras se houver TF; senão fallback numpy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def __init__(self, force_light=False):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self.light = force_light or not _HAS_TF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self.model = _CentroidModel() if self.light else build_cnn(...)</w:t>
            </w:r>
          </w:p>
        </w:tc>
      </w:tr>
    </w:tbl>
    <w:p>
      <w:pPr>
        <w:spacing w:after="60" w:line="276"/>
        <w:jc w:val="both"/>
      </w:pPr>
      <w:r>
        <w:rPr>
          <w:b/>
          <w:bCs/>
          <w:sz w:val="22"/>
          <w:szCs w:val="22"/>
        </w:rPr>
        <w:t xml:space="preserve">b) Previsão de focos com RNN/LSTM (previsão recursiva de horizonte):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F4E79" w:sz="18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self.model = models.Sequential([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layers.Input((self.look_back, 1)),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layers.LSTM(32),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layers.Dense(1),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])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self.model.compile(optimizer="adam", loss="mse")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forecast recursivo dos próximos 'horizon' dias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 _ in range(horizon):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yhat = self.model.predict(x[None, :, None])[0, 0]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window.append(yhat); out.append(yhat)</w:t>
            </w:r>
          </w:p>
        </w:tc>
      </w:tr>
    </w:tbl>
    <w:p>
      <w:pPr>
        <w:spacing w:after="60" w:line="276"/>
        <w:jc w:val="both"/>
      </w:pPr>
      <w:r>
        <w:rPr>
          <w:b/>
          <w:bCs/>
          <w:sz w:val="22"/>
          <w:szCs w:val="22"/>
        </w:rPr>
        <w:t xml:space="preserve">c) Algoritmo Genético — rota ótima de patrulha (núcleo do laço evolutivo):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F4E79" w:sz="18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 _ in range(geracoes):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scores = sorted((comprimento_rota(ind, pontos), ind) for ind in pop)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nova = [s[1] for s in scores[:elite]]          # elitismo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while len(nova) &lt; tam_pop: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t1 = min(rng.sample(scores, 3), key=lambda t: t[0])[1]  # torneio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t2 = min(rng.sample(scores, 3), key=lambda t: t[0])[1]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filho = _mutacao_swap(_ox(t1, t2, rng), taxa_mut, rng) # OX + mutação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nova.append(filho)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populacao = nova</w:t>
            </w:r>
          </w:p>
        </w:tc>
      </w:tr>
    </w:tbl>
    <w:p>
      <w:pPr>
        <w:spacing w:after="60" w:line="276"/>
        <w:jc w:val="both"/>
      </w:pPr>
      <w:r>
        <w:rPr>
          <w:b/>
          <w:bCs/>
          <w:sz w:val="22"/>
          <w:szCs w:val="22"/>
        </w:rPr>
        <w:t xml:space="preserve">d) Priorização de alertas (recomendação) e orquestração serverless por eventos: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F4E79" w:sz="18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score_alerta(classe, conf, area_ha, em_area_protegida, fator_tend=0.0):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sev = CLASS_SEVERITY.get(classe, 0.1)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base = 0.45*sev + 0.20*conf + 0.20*min(area_ha/500, 1.0)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min(base + (0.15 if em_area_protegida else 0) + 0.15*fator_tend, 1.0)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bus.publish("nova_deteccao", reg)      # dispara handlers (Lambda simulada)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bus.notify("fiscalizacao", msg)        # SNS  | bus.enqueue(id)  # SQS</w:t>
            </w:r>
          </w:p>
        </w:tc>
      </w:tr>
    </w:tbl>
    <w:p>
      <w:pPr>
        <w:pStyle w:val="Heading2"/>
        <w:spacing w:after="100" w:before="220"/>
      </w:pPr>
      <w:r>
        <w:t xml:space="preserve">2.7 O que é funcional (POC) e o que é simulado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 POC prioriza implementação real no núcleo de IA. Os componentes de infraestrutura que exigiriam conta AWS ou hardware físico são simulados com a mesma interface, acompanhados de plano de evolução.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1900"/>
        <w:gridCol w:w="2600"/>
      </w:tblGrid>
      <w:tr>
        <w:trPr>
          <w:tblHeader/>
        </w:trPr>
        <w:tc>
          <w:tcPr>
            <w:tcW w:type="dxa" w:w="486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9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FFFFFF" w:sz="2"/>
              <w:left w:val="single" w:color="FFFFFF" w:sz="2"/>
              <w:bottom w:val="single" w:color="FFFFFF" w:sz="2"/>
              <w:right w:val="single" w:color="FFFFFF" w:sz="2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Disciplina</w:t>
            </w:r>
          </w:p>
        </w:tc>
      </w:tr>
      <w:tr>
        <w:tc>
          <w:tcPr>
            <w:tcW w:type="dxa" w:w="4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CNN de uso do solo (Keras + fallback numpy)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Funcional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F6·C9</w:t>
            </w:r>
          </w:p>
        </w:tc>
      </w:tr>
      <w:tr>
        <w:tc>
          <w:tcPr>
            <w:tcW w:type="dxa" w:w="4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Detecção na cena (janela deslizante)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Funcional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F6·C10</w:t>
            </w:r>
          </w:p>
        </w:tc>
      </w:tr>
      <w:tr>
        <w:tc>
          <w:tcPr>
            <w:tcW w:type="dxa" w:w="4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RNN/LSTM de previsão (+ fallback AR)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Funcional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F7·C2, F4·C5</w:t>
            </w:r>
          </w:p>
        </w:tc>
      </w:tr>
      <w:tr>
        <w:tc>
          <w:tcPr>
            <w:tcW w:type="dxa" w:w="4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Algoritmo Genético (rota)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Funcional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F7·C4</w:t>
            </w:r>
          </w:p>
        </w:tc>
      </w:tr>
      <w:tr>
        <w:tc>
          <w:tcPr>
            <w:tcW w:type="dxa" w:w="4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Recomendação / priorização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Funcional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F6·C13</w:t>
            </w:r>
          </w:p>
        </w:tc>
      </w:tr>
      <w:tr>
        <w:tc>
          <w:tcPr>
            <w:tcW w:type="dxa" w:w="4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Georreferenciamento (Haversine)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Funcional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F3·C6</w:t>
            </w:r>
          </w:p>
        </w:tc>
      </w:tr>
      <w:tr>
        <w:tc>
          <w:tcPr>
            <w:tcW w:type="dxa" w:w="4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API FastAPI + Dashboard Streamlit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Funcional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F4·C4</w:t>
            </w:r>
          </w:p>
        </w:tc>
      </w:tr>
      <w:tr>
        <w:tc>
          <w:tcPr>
            <w:tcW w:type="dxa" w:w="4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SQLite + MongoDB (mongomock)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Funcional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F3·C7, F5·C3-5</w:t>
            </w:r>
          </w:p>
        </w:tc>
      </w:tr>
      <w:tr>
        <w:tc>
          <w:tcPr>
            <w:tcW w:type="dxa" w:w="4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Alerta por voz (TTS)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Funcional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F7·C3</w:t>
            </w:r>
          </w:p>
        </w:tc>
      </w:tr>
      <w:tr>
        <w:tc>
          <w:tcPr>
            <w:tcW w:type="dxa" w:w="4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AWS Lambda/SQS/SNS/CloudWatch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Simulado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F6·C12, F7·C5-6</w:t>
            </w:r>
          </w:p>
        </w:tc>
      </w:tr>
      <w:tr>
        <w:tc>
          <w:tcPr>
            <w:tcW w:type="dxa" w:w="4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Serviço cognitivo (Rekognition)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Simulado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D6E4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F7·C7</w:t>
            </w:r>
          </w:p>
        </w:tc>
      </w:tr>
      <w:tr>
        <w:tc>
          <w:tcPr>
            <w:tcW w:type="dxa" w:w="48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Sensor ESP32 de campo (Wokwi)</w:t>
            </w:r>
          </w:p>
        </w:tc>
        <w:tc>
          <w:tcPr>
            <w:tcW w:type="dxa" w:w="19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Simulado</w:t>
            </w:r>
          </w:p>
        </w:tc>
        <w:tc>
          <w:tcPr>
            <w:tcW w:type="dxa" w:w="2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F6·C3, F7·C8</w:t>
            </w:r>
          </w:p>
        </w:tc>
      </w:tr>
    </w:tbl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Plano de evolução: </w:t>
      </w:r>
      <w:r>
        <w:rPr>
          <w:sz w:val="22"/>
          <w:szCs w:val="22"/>
        </w:rPr>
        <w:t xml:space="preserve">(1) substituir os dados sintéticos por imagens reais Sentinel-2/Landsat e focos do NASA FIRMS; (2) treinar a CNN com transfer learning (MobileNetV2) em rótulos PRODES/DETER; (3) migrar a orquestração simulada para AWS real (S3, Lambda, SQS, SNS, Rekognition); (4) implantar o ESP32 físico com sensores de fumaça e GPS para validação em campo.</w:t>
      </w:r>
    </w:p>
    <w:p>
      <w:pPr>
        <w:pStyle w:val="Heading2"/>
        <w:spacing w:after="100" w:before="220"/>
      </w:pPr>
      <w:r>
        <w:t xml:space="preserve">2.8 Resultados da execução do MVP</w:t>
      </w:r>
    </w:p>
    <w:p>
      <w:pPr>
        <w:spacing w:after="120" w:line="276"/>
        <w:jc w:val="both"/>
      </w:pPr>
      <w:r>
        <w:rPr>
          <w:sz w:val="22"/>
          <w:szCs w:val="22"/>
        </w:rPr>
        <w:t>A plataforma foi executada de ponta a ponta e validada por uma bateria de testes automatizados (29 testes, todos aprovados). As figuras a seguir são saídas reais do sistema.</w:t>
      </w:r>
    </w:p>
    <w:p>
      <w:pPr>
        <w:spacing w:after="40" w:before="120"/>
        <w:jc w:val="center"/>
      </w:pPr>
      <w:r>
        <w:drawing>
          <wp:inline distT="0" distB="0" distL="0" distR="0">
            <wp:extent cx="3429000" cy="3429000"/>
            <wp:effectExtent t="0" r="0" b="0" l="0"/>
            <wp:docPr id="1" name="Figura 2 — Detecção de anomalias na cena orbital: mineração (amarelo) e queimada (vermelho)." descr="Figura 2 — Detecção de anomalias na cena orbital: mineração (amarelo) e queimada (vermelho)." title="Figura 2 — Detecção de anomalias na cena orbital: mineração (amarelo) e queimada (vermelh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Figura 2 — Detecção de anomalias na cena orbital: mineração (amarelo) e queimada (vermelho).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333625"/>
            <wp:effectExtent t="0" r="0" b="0" l="0"/>
            <wp:docPr id="1" name="Figura 3 — Previsão de focos de calor (RNN/LSTM) para os próximos dias." descr="Figura 3 — Previsão de focos de calor (RNN/LSTM) para os próximos dias." title="Figura 3 — Previsão de focos de calor (RNN/LSTM) para os próximos di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Figura 3 — Previsão de focos de calor (RNN/LSTM) para os próximos dias.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Figura 4 — Rota de patrulha otimizada por Algoritmo Genético e curva de convergência." descr="Figura 4 — Rota de patrulha otimizada por Algoritmo Genético e curva de convergência." title="Figura 4 — Rota de patrulha otimizada por Algoritmo Genético e curva de convergênc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Figura 4 — Rota de patrulha otimizada por Algoritmo Genético e curva de convergência.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Métricas observadas: acurácia do classificador de 100% no conjunto de validação sintético; 5 anomalias detectadas e geolocalizadas; rota de patrulha 43% menor que a ordem ingênua (1.124 km contra 1.980 km); 17 invocações de função serverless e 5 notificações emitidas; alerta por voz gerado para o foco de maior prioridade.</w:t>
      </w:r>
    </w:p>
    <w:p>
      <w:pPr>
        <w:spacing w:after="80" w:line="276"/>
        <w:jc w:val="both"/>
      </w:pPr>
      <w:r>
        <w:rPr>
          <w:i/>
          <w:iCs/>
          <w:sz w:val="20"/>
          <w:szCs w:val="20"/>
        </w:rPr>
        <w:t xml:space="preserve">Espaços para inserção de capturas reais do MVP em execução (recomendado para a entrega e o vídeo):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800" w:sz="2"/>
              <w:left w:val="single" w:color="E0A800" w:sz="2"/>
              <w:bottom w:val="single" w:color="E0A800" w:sz="2"/>
              <w:right w:val="single" w:color="E0A800" w:sz="2"/>
            </w:tcBorders>
            <w:shd w:fill="FFF2C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486400" cy="4114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nt_dashboar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11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</w:rPr>
              <w:t>Figura — Dashboard de Comando (Streamlit): mapa operacional com AOI, área protegida, detecções por classe, rota de patrulha (GA) e focos FIRMS reais.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800" w:sz="2"/>
              <w:left w:val="single" w:color="E0A800" w:sz="2"/>
              <w:bottom w:val="single" w:color="E0A800" w:sz="2"/>
              <w:right w:val="single" w:color="E0A800" w:sz="2"/>
            </w:tcBorders>
            <w:shd w:fill="FFF2C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5486400" cy="4114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nt_api_doc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11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</w:rPr>
              <w:t>Figura — Documentação interativa da API REST (FastAPI/Swagger em /docs).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800" w:sz="2"/>
              <w:left w:val="single" w:color="E0A800" w:sz="2"/>
              <w:bottom w:val="single" w:color="E0A800" w:sz="2"/>
              <w:right w:val="single" w:color="E0A800" w:sz="2"/>
            </w:tcBorders>
            <w:shd w:fill="FFF2C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250454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_esp32_telemetri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045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i/>
              </w:rPr>
              <w:t xml:space="preserve">Figura 5 — ESP32 (Wokwi): telemetria real do sensor de solo (temperatura e fumaça) confirmando foco de queimada e disparando o alerta multi-fonte (sensor + detecção orbital).</w:t>
            </w:r>
          </w:p>
        </w:tc>
      </w:tr>
    </w:tbl>
    <w:p>
      <w:pPr>
        <w:pStyle w:val="Heading2"/>
        <w:spacing w:after="100" w:before="220"/>
      </w:pPr>
      <w:r>
        <w:t xml:space="preserve">2.9 Ética, governança e conformidade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Por se tratar de uma solução de vigilância, o SENTINELA adota princípios de IA responsável discutidos no curso (ética em IA e direito digital). O sistema opera sobre dados públicos e ambientais (uso do solo, focos de calor) e não realiza identificação de pessoas. Toda detecção é registrada com trilha de auditoria, e a plataforma observa a LGPD quanto a minimização e finalidade de dados. A camada de cibersegurança protege a integridade das detecções, evitando manipulação de evidências usadas pela fiscalização.</w:t>
      </w:r>
    </w:p>
    <w:p>
      <w:pPr>
        <w:pStyle w:val="Heading2"/>
      </w:pPr>
      <w:r>
        <w:t>2.10 Dados públicos reais e repositório local (data lake)</w:t>
      </w:r>
    </w:p>
    <w:p>
      <w:pPr>
        <w:pStyle w:val="ListParagraph"/>
      </w:pPr>
      <w:r>
        <w:t>A POC passou a consumir dados abertos reais, sem alterar o pipeline existente:</w:t>
      </w:r>
    </w:p>
    <w:p>
      <w:pPr>
        <w:pStyle w:val="ListParagraph"/>
      </w:pPr>
      <w:r>
        <w:t>•  NASA FIRMS (VIIRS 375 m): focos de calor por bounding box da AOI via Area API (chave gratuita). A função fetch_fire_foci_firms() normaliza a confiança (categórica l/n/h e numérica 0–100) e agrega em série diária para a previsão (LSTM/AR).</w:t>
      </w:r>
    </w:p>
    <w:p>
      <w:pPr>
        <w:pStyle w:val="ListParagraph"/>
      </w:pPr>
      <w:r>
        <w:t>•  Sentinel-2 L2A: cenas reais via STAC pública Earth-search (Element84/AWS), sem login. O filtro por cobertura (s2:nodata_pixel_percentage) retorna apenas tiles cheios; a imagem true-color pode ser tile-ada e consumida pela mesma CNN do projeto.</w:t>
      </w:r>
    </w:p>
    <w:p>
      <w:pPr>
        <w:pStyle w:val="ListParagraph"/>
      </w:pPr>
      <w:r>
        <w:t>Para rodar offline-first e enriquecer a cada execução, os dados baixados são acumulados com deduplicação em um repositório local (data lake) em src/data/lake/, pelo módulo data/repository.py:</w:t>
      </w:r>
    </w:p>
    <w:p>
      <w:pPr>
        <w:pStyle w:val="ListParagraph"/>
      </w:pPr>
      <w:r>
        <w:t>•  Arquivos: firms_foci.parquet (focos), s2_scenes.json (catálogo de cenas) e manifest.json (contagens, período coberto e última sincronização).</w:t>
      </w:r>
    </w:p>
    <w:p>
      <w:pPr>
        <w:pStyle w:val="ListParagraph"/>
      </w:pPr>
      <w:r>
        <w:t>•  Funções sync_*() baixam em tempo real e agregam ao lake; load_*() leem o acumulado sem rede, alimentando previsão, mapas e visão computacional.</w:t>
      </w:r>
    </w:p>
    <w:p>
      <w:pPr>
        <w:pStyle w:val="ListParagraph"/>
      </w:pPr>
      <w:r>
        <w:t>O dashboard de comando (Streamlit) passou a oferecer: seção Repositório local (sincronizar / usar offline), mapas interativos (pydeck) com AOI, área protegida, detecções por classe, rota de patrulha (algoritmo genético) e focos FIRMS sobrepostos, e um cartão Leitura para decisão em cada aba — que interpreta os achados (célula de maior concentração de focos, tendência da série temporal, confirmação multi-fonte ESP32 + órbita) e recomenda ações de fiscalização.</w:t>
      </w:r>
    </w:p>
    <w:p>
      <w:pPr>
        <w:pStyle w:val="ListParagraph"/>
      </w:pPr>
      <w:r>
        <w:t>Com isso, a solução evidencia engenharia de dados (ingestão por API, parsing, agregação e data lake) e análise em tempo real, mantendo o gerador sintético como fallback determinístico para reprodutibilidade.</w:t>
      </w:r>
    </w:p>
    <w:p>
      <w:pPr>
        <w:pStyle w:val="Heading1"/>
        <w:spacing w:after="140" w:before="280"/>
      </w:pPr>
      <w:r>
        <w:t xml:space="preserve">3. Resultados Esperados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Espera-se que o SENTINELA reduza drasticamente o tempo entre a captura da imagem e a ação de fiscalização, priorizando automaticamente os focos mais críticos e otimizando o deslocamento das equipes. Em escala real, a plataforma pode apoiar órgãos ambientais e de defesa no monitoramento contínuo da Amazônia e das Águas Jurisdicionais Brasileiras, contribuindo para: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Detecção precoce de mineração ilegal, queimadas e desmatamento, com geolocalização automática.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Antecipação de tendências de focos de calor por meio de previsão temporal.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Otimização logística das rotas de patrulha, reduzindo custo e tempo de resposta.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Integração de sensores de campo para validação dos alertas e redução de falsos positivos.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Base tecnológica reaproveitável para vigilância da ZEE, fronteiras, cartografia e navegabilidade.</w:t>
      </w:r>
    </w:p>
    <w:p>
      <w:pPr>
        <w:pStyle w:val="Heading1"/>
        <w:spacing w:after="140" w:before="280"/>
      </w:pPr>
      <w:r>
        <w:t xml:space="preserve">4. Conclusões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 SENTINELA demonstra, como prova de conceito, que a Inteligência Artificial aplicada à economia espacial pode gerar impacto positivo e concreto na Terra. A solução integra de forma coerente visão computacional, redes neurais recorrentes, algoritmos genéticos, engenharia de dados, nuvem, serviços cognitivos, IoT, bancos SQL/NoSQL, dashboards e governança — articulando praticamente todo o conteúdo do curso em um caso de uso de alto valor estratégico e ambiental.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O núcleo de IA é funcional e testado; os componentes de infraestrutura que dependeriam de conta AWS e hardware foram simulados com a mesma interface e acompanhados de um plano claro de evolução para produção. Trata-se de uma base sólida, autoral e extensível, alinhada à pergunta norteadora da Global Solution 2026.1.</w:t>
      </w:r>
    </w:p>
    <w:p>
      <w:pPr>
        <w:pStyle w:val="Heading1"/>
        <w:spacing w:after="140" w:before="280"/>
      </w:pPr>
      <w:r>
        <w:t xml:space="preserve">5. Repositório e reprodutibilidade</w:t>
      </w:r>
    </w:p>
    <w:p>
      <w:pPr>
        <w:spacing w:after="120" w:line="276"/>
        <w:jc w:val="both"/>
      </w:pPr>
      <w:r>
        <w:rPr>
          <w:b/>
          <w:bCs/>
          <w:sz w:val="22"/>
          <w:szCs w:val="22"/>
        </w:rPr>
        <w:t xml:space="preserve">Repositório GitHub: </w:t>
      </w:r>
      <w:hyperlink w:history="1" r:id="rIdsmtl0-hzv0jjqrettkzss">
        <w:r>
          <w:rPr>
            <w:rStyle w:val="Hyperlink"/>
            <w:sz w:val="22"/>
            <w:szCs w:val="22"/>
          </w:rPr>
          <w:t xml:space="preserve">https://github.com/silvioguerreiro/1TIAOS_2026_FASE_7_GS2</w:t>
        </w:r>
      </w:hyperlink>
    </w:p>
    <w:p>
      <w:pPr>
        <w:spacing w:after="60" w:line="276"/>
        <w:jc w:val="both"/>
      </w:pPr>
      <w:r>
        <w:rPr>
          <w:sz w:val="22"/>
          <w:szCs w:val="22"/>
        </w:rPr>
        <w:t xml:space="preserve">Execução (resumo):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2"/>
              <w:left w:val="single" w:color="1F4E79" w:sz="18"/>
              <w:bottom w:val="single" w:color="CCCCCC" w:sz="2"/>
              <w:right w:val="single" w:color="CCCCCC" w:sz="2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pip install -r requirements.txt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python run_demo.py            # pipeline ponta a ponta (relatório no console)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python -m pytest              # bateria de testes (29 testes)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streamlit run dashboard/app.py   # dashboard de comando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uvicorn core.api:app --reload     # API REST (docs em /docs)</w:t>
            </w:r>
          </w:p>
        </w:tc>
      </w:tr>
    </w:tbl>
    <w:p>
      <w:pPr>
        <w:spacing w:after="120" w:line="276"/>
        <w:jc w:val="both"/>
      </w:pPr>
      <w:r>
        <w:rPr>
          <w:i/>
          <w:iCs/>
          <w:sz w:val="20"/>
          <w:szCs w:val="20"/>
        </w:rPr>
        <w:t xml:space="preserve">Observação: sem TensorFlow instalado, o sistema usa automaticamente os fallbacks em numpy, permitindo execução em qualquer máquina.</w:t>
      </w:r>
    </w:p>
    <w:p>
      <w:pPr>
        <w:pStyle w:val="Heading1"/>
        <w:spacing w:after="140" w:before="280"/>
      </w:pPr>
      <w:r>
        <w:t xml:space="preserve">6. Referências (material do curso)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FIAP — Curso 1TIAO. Fases 1 a 7. Capítulos utilizados: F3·C6 (geolocalização); F4·C4 (Streamlit); F4·C5 (séries temporais e dados espaciais); F6·C3 (ESP32/visão); F6·C9 (CNN/Deep Learning); F6·C10 (detecção e segmentação); F6·C12 (serverless/Lambda); F6·C13 (sistemas de recomendação); F7·C2 (redes neurais recorrentes); F7·C3 (voz: fala e texto); F7·C4 (algoritmos genéticos); F7·C5-6 (AWS assíncrona, monitoramento e CloudFormation); F7·C7 (serviços cognitivos AWS); F7·C8 (POO no ESP32). Enunciado oficial: Tema Geral da Global Solution 2026.1.</w:t>
      </w:r>
    </w:p>
    <w:p>
      <w:r>
        <w:br w:type="page"/>
      </w:r>
    </w:p>
    <w:p>
      <w:pPr>
        <w:spacing w:after="120" w:before="200"/>
        <w:jc w:val="center"/>
      </w:pPr>
      <w:r>
        <w:rPr>
          <w:b/>
          <w:bCs/>
          <w:color w:val="1F4E79"/>
          <w:sz w:val="28"/>
          <w:szCs w:val="28"/>
        </w:rPr>
        <w:t xml:space="preserve">VÍDEO DEMONSTRATIVO</w:t>
      </w:r>
    </w:p>
    <w:p>
      <w:pPr>
        <w:jc w:val="center"/>
      </w:pPr>
      <w:r>
        <w:rPr>
          <w:color w:val="595959"/>
          <w:sz w:val="20"/>
          <w:szCs w:val="20"/>
        </w:rPr>
        <w:t xml:space="preserve">Demonstração da solução em até 5 minutos (publicar no YouTube como “Não listado”).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800" w:sz="2"/>
              <w:left w:val="single" w:color="E0A800" w:sz="2"/>
              <w:bottom w:val="single" w:color="E0A800" w:sz="2"/>
              <w:right w:val="single" w:color="E0A800" w:sz="2"/>
            </w:tcBorders>
            <w:shd w:fill="FFF2C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9C6500"/>
                <w:sz w:val="20"/>
                <w:szCs w:val="20"/>
              </w:rPr>
              <w:t xml:space="preserve">Link do vídeo (YouTube — Não listado): https://youtu.be/RHZ77HH8EM8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SENTINELA · Grupo 37 · GS 2026.1 — pág.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udi0we2iv67h7nviehgh" Type="http://schemas.openxmlformats.org/officeDocument/2006/relationships/hyperlink" Target="https://github.com/silvioguerreiro/1TIAOS_2026_FASE_7_GS2" TargetMode="External"/><Relationship Id="rIdsmtl0-hzv0jjqrettkzss" Type="http://schemas.openxmlformats.org/officeDocument/2006/relationships/hyperlink" Target="https://github.com/silvioguerreiro/1TIAOS_2026_FASE_7_GS2.git" TargetMode="External"/><Relationship Id="rId8" Type="http://schemas.openxmlformats.org/officeDocument/2006/relationships/image" Target="media/ec0479998c1ce13fbf73a52712dcbf7dcef3b7f9.png"/><Relationship Id="rId9" Type="http://schemas.openxmlformats.org/officeDocument/2006/relationships/image" Target="media/6f34c3f85e742ccda02ff650afac5fb4aa163bfd.png"/><Relationship Id="rId10" Type="http://schemas.openxmlformats.org/officeDocument/2006/relationships/image" Target="media/e05cca44fa525288bf8bbd828ebe902cab1d7226.png"/><Relationship Id="rId11" Type="http://schemas.openxmlformats.org/officeDocument/2006/relationships/image" Target="media/b14a4c72459924d9fde7edb1f0297ab7140d137f.png"/><Relationship Id="rId14" Type="http://schemas.openxmlformats.org/officeDocument/2006/relationships/fontTable" Target="fontTable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2026-06-01T21:36:26.001Z</dcterms:created>
  <dcterms:modified xsi:type="dcterms:W3CDTF">2026-06-01T21:36:26.001Z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