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Técnico</w:t>
        <w:br/>
        <w:t>Reconhecimento de Comandos de Voz com Edge AI no ESP32-S3</w:t>
      </w:r>
    </w:p>
    <w:p>
      <w:pPr>
        <w:jc w:val="center"/>
      </w:pPr>
      <w:r>
        <w:rPr>
          <w:i/>
        </w:rPr>
        <w:t>Documentação do fluxo completo: dataset, Colab, MFCC, quantização INT8, ESP-IDF/Wokwi, depuração e testes</w:t>
      </w:r>
    </w:p>
    <w:p>
      <w:pPr>
        <w:pStyle w:val="Heading1"/>
      </w:pPr>
      <w:r>
        <w:t>1. Objetivo</w:t>
      </w:r>
    </w:p>
    <w:p>
      <w:r>
        <w:t>O projeto implementa um classificador TinyML capaz de reconhecer os comandos ABRIR_PORTA e FECHAR_PORTA e usar a classe prevista para acionar um servo. O objetivo desta documentação é permitir que os demais membros do grupo compreendam não apenas o resultado final, mas também as etapas de construção, os problemas encontrados e as decisões técnicas tomadas.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infographic_poster_with_a_clean_block_di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 — Visão geral do fluxo do projeto.</w:t>
      </w:r>
    </w:p>
    <w:p>
      <w:pPr>
        <w:pStyle w:val="Heading1"/>
      </w:pPr>
      <w:r>
        <w:t>2. Coleta e preparação dos áudios</w:t>
      </w:r>
    </w:p>
    <w:p>
      <w:r>
        <w:t>O dataset inicial contém 60 gravações: 30 da classe ABRIR_PORTA e 30 da classe FECHAR_PORTA. Os áudios foram padronizados em mono, 16 kHz e PCM16. O pré-processamento detecta a região de fala, preserva uma margem de aproximadamente 200 ms e produz uma janela fixa de 2,5 s (40.000 amostras), usando recorte ou padding com zeros quando necessário.</w:t>
      </w:r>
    </w:p>
    <w:p>
      <w:r>
        <w:drawing>
          <wp:inline xmlns:a="http://schemas.openxmlformats.org/drawingml/2006/main" xmlns:pic="http://schemas.openxmlformats.org/drawingml/2006/picture">
            <wp:extent cx="2971800" cy="33509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-processam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350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480560" cy="26278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-processamento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627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Extração de MFCC e treinamento no Colab</w:t>
      </w:r>
    </w:p>
    <w:p>
      <w:r>
        <w:t>No Colab, cada áudio é transformado em MFCC com 13 coeficientes e 247 frames, totalizando 3.211 valores. Esses dados alimentam uma CNN pequena em TensorFlow/Keras. A normalização usa estatísticas calculadas no conjunto de treinamento.</w:t>
      </w:r>
    </w:p>
    <w:p>
      <w:r>
        <w:drawing>
          <wp:inline xmlns:a="http://schemas.openxmlformats.org/drawingml/2006/main" xmlns:pic="http://schemas.openxmlformats.org/drawingml/2006/picture">
            <wp:extent cx="4480560" cy="2313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ulo_mfc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313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Os parâmetros de normalização foram preservados em um arquivo NPZ. Os valores usados no firmware são média = -28,254616 e desvio = 117,86187. O NPZ é importante porque permite reproduzir no ESP32 a mesma transformação aplicada durante o treinamento.</w:t>
      </w:r>
    </w:p>
    <w:p>
      <w:r>
        <w:drawing>
          <wp:inline xmlns:a="http://schemas.openxmlformats.org/drawingml/2006/main" xmlns:pic="http://schemas.openxmlformats.org/drawingml/2006/picture">
            <wp:extent cx="3200400" cy="3479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ostras_mfc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47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Quantização e exportação do modelo</w:t>
      </w:r>
    </w:p>
    <w:p>
      <w:r>
        <w:t>Após o treinamento, o modelo foi convertido para TensorFlow Lite INT8. A quantização reduz memória e custo computacional, tornando a inferência adequada ao microcontrolador. O arquivo .tflite foi então convertido para model.cc/model.h para ser compilado no firmware. O tensor de entrada utilizado na aplicação é 1 × 13 × 247 × 1, INT8.</w:t>
      </w:r>
    </w:p>
    <w:p>
      <w:r>
        <w:drawing>
          <wp:inline xmlns:a="http://schemas.openxmlformats.org/drawingml/2006/main" xmlns:pic="http://schemas.openxmlformats.org/drawingml/2006/picture">
            <wp:extent cx="5212080" cy="40523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NYM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52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Migração do pipeline para C/C++ no ESP32</w:t>
      </w:r>
    </w:p>
    <w:p>
      <w:r>
        <w:t>A etapa embarcada não consistiu apenas em carregar o modelo. Foi necessário reproduzir em C/C++ o mesmo caminho usado no Python: preparação da janela de áudio, cálculo do MFCC, normalização, quantização da entrada, execução do TFLite Micro, desquantização da saída e decisão da classe.</w:t>
      </w:r>
    </w:p>
    <w:p>
      <w:r>
        <w:t>Um problema inicial importante foi o model.cc vindo do exemplo: ele não representava o modelo treinado no Colab. A solução foi gerar model.cc a partir do modelo INT8 conhecido, eliminando a inconsistência entre o ambiente de treinamento e o firmware.</w:t>
      </w:r>
    </w:p>
    <w:p>
      <w:pPr>
        <w:pStyle w:val="Heading1"/>
      </w:pPr>
      <w:r>
        <w:t>6. Problemas técnicos e correções</w:t>
      </w:r>
    </w:p>
    <w:p>
      <w:pPr>
        <w:pStyle w:val="Heading2"/>
      </w:pPr>
      <w:r>
        <w:t>Git e build</w:t>
      </w:r>
    </w:p>
    <w:p>
      <w:r>
        <w:t>No ambiente utilizado, o Git 2.42 apresentava operações recursivas/submódulos que ficavam presas durante configure/build. A atualização para Git 2.56 resolveu esse bloqueio. Esta observação descreve o ambiente testado e não deve ser interpretada como uma incompatibilidade universal do Git 2.42.</w:t>
      </w:r>
    </w:p>
    <w:p>
      <w:pPr>
        <w:pStyle w:val="Heading2"/>
      </w:pPr>
      <w:r>
        <w:t>Inferência ANSI C</w:t>
      </w:r>
    </w:p>
    <w:p>
      <w:r>
        <w:t>A execução otimizada do ESP-NN apresentou falha de MaxPool no Wokwi. O projeto foi configurado para usar a implementação ANSI C do TFLite Micro.</w:t>
      </w:r>
    </w:p>
    <w:p>
      <w:pPr>
        <w:pStyle w:val="Heading2"/>
      </w:pPr>
      <w:r>
        <w:t>FFT ANSI</w:t>
      </w:r>
    </w:p>
    <w:p>
      <w:r>
        <w:t>Durante a validação do MFCC, as chamadas genéricas do ESP-DSP produziram um espectro divergente no ambiente atual. O uso explícito de dsps_fft2r_fc32_ansi e dsps_bit_rev_fc32_ansi passou a coincidir com a referência NumPy.</w:t>
      </w:r>
    </w:p>
    <w:p>
      <w:pPr>
        <w:pStyle w:val="Heading2"/>
      </w:pPr>
      <w:r>
        <w:t>Memória</w:t>
      </w:r>
    </w:p>
    <w:p>
      <w:r>
        <w:t>A primeira implementação do MFCC excedeu a memória disponível. O algoritmo foi reorganizado para evitar matrizes grandes, usar buffers menores/reutilizáveis e alocar dinamicamente o buffer de áudio processado.</w:t>
      </w:r>
    </w:p>
    <w:p>
      <w:pPr>
        <w:pStyle w:val="Heading1"/>
      </w:pPr>
      <w:r>
        <w:t>7. Execução no Wokwi</w:t>
      </w:r>
    </w:p>
    <w:p>
      <w:r>
        <w:t>Seis arquivos WAV de teste foram convertidos para arrays PCM16 C++ e incorporados ao firmware. O menu permite escolher o áudio sem mostrar a classe antes da inferência, preservando a lógica de teste cego.</w:t>
      </w:r>
    </w:p>
    <w:p>
      <w:r>
        <w:drawing>
          <wp:inline xmlns:a="http://schemas.openxmlformats.org/drawingml/2006/main" xmlns:pic="http://schemas.openxmlformats.org/drawingml/2006/picture">
            <wp:extent cx="6035040" cy="51424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olher_audio_tes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142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Depois da seleção, o firmware executa o pré-processamento, calcula o MFCC, normaliza e quantiza os 3.211 valores e chama o modelo INT8. A classe prevista determina a ação do servo.</w:t>
      </w:r>
    </w:p>
    <w:p>
      <w:r>
        <w:drawing>
          <wp:inline xmlns:a="http://schemas.openxmlformats.org/drawingml/2006/main" xmlns:pic="http://schemas.openxmlformats.org/drawingml/2006/picture">
            <wp:extent cx="5394960" cy="3208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ERENC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08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Resultados dos seis testes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Teste</w:t>
            </w:r>
          </w:p>
        </w:tc>
        <w:tc>
          <w:tcPr>
            <w:tcW w:type="dxa" w:w="2520"/>
          </w:tcPr>
          <w:p>
            <w:r>
              <w:t>Classe real</w:t>
            </w:r>
          </w:p>
        </w:tc>
        <w:tc>
          <w:tcPr>
            <w:tcW w:type="dxa" w:w="2520"/>
          </w:tcPr>
          <w:p>
            <w:r>
              <w:t>Classe prevista</w:t>
            </w:r>
          </w:p>
        </w:tc>
        <w:tc>
          <w:tcPr>
            <w:tcW w:type="dxa" w:w="2520"/>
          </w:tcPr>
          <w:p>
            <w:r>
              <w:t>Resultado</w:t>
            </w:r>
          </w:p>
        </w:tc>
      </w:tr>
      <w:tr>
        <w:tc>
          <w:tcPr>
            <w:tcW w:type="dxa" w:w="2520"/>
          </w:tcPr>
          <w:p>
            <w:r>
              <w:t>01</w:t>
            </w:r>
          </w:p>
        </w:tc>
        <w:tc>
          <w:tcPr>
            <w:tcW w:type="dxa" w:w="2520"/>
          </w:tcPr>
          <w:p>
            <w:r>
              <w:t>ABRIR</w:t>
            </w:r>
          </w:p>
        </w:tc>
        <w:tc>
          <w:tcPr>
            <w:tcW w:type="dxa" w:w="2520"/>
          </w:tcPr>
          <w:p>
            <w:r>
              <w:t>ABRIR 99,22%</w:t>
            </w:r>
          </w:p>
        </w:tc>
        <w:tc>
          <w:tcPr>
            <w:tcW w:type="dxa" w:w="2520"/>
          </w:tcPr>
          <w:p>
            <w:r>
              <w:t>Correto</w:t>
            </w:r>
          </w:p>
        </w:tc>
      </w:tr>
      <w:tr>
        <w:tc>
          <w:tcPr>
            <w:tcW w:type="dxa" w:w="2520"/>
          </w:tcPr>
          <w:p>
            <w:r>
              <w:t>02</w:t>
            </w:r>
          </w:p>
        </w:tc>
        <w:tc>
          <w:tcPr>
            <w:tcW w:type="dxa" w:w="2520"/>
          </w:tcPr>
          <w:p>
            <w:r>
              <w:t>ABRIR</w:t>
            </w:r>
          </w:p>
        </w:tc>
        <w:tc>
          <w:tcPr>
            <w:tcW w:type="dxa" w:w="2520"/>
          </w:tcPr>
          <w:p>
            <w:r>
              <w:t>ABRIR 100,00%</w:t>
            </w:r>
          </w:p>
        </w:tc>
        <w:tc>
          <w:tcPr>
            <w:tcW w:type="dxa" w:w="2520"/>
          </w:tcPr>
          <w:p>
            <w:r>
              <w:t>Correto</w:t>
            </w:r>
          </w:p>
        </w:tc>
      </w:tr>
      <w:tr>
        <w:tc>
          <w:tcPr>
            <w:tcW w:type="dxa" w:w="2520"/>
          </w:tcPr>
          <w:p>
            <w:r>
              <w:t>03</w:t>
            </w:r>
          </w:p>
        </w:tc>
        <w:tc>
          <w:tcPr>
            <w:tcW w:type="dxa" w:w="2520"/>
          </w:tcPr>
          <w:p>
            <w:r>
              <w:t>FECHAR</w:t>
            </w:r>
          </w:p>
        </w:tc>
        <w:tc>
          <w:tcPr>
            <w:tcW w:type="dxa" w:w="2520"/>
          </w:tcPr>
          <w:p>
            <w:r>
              <w:t>FECHAR 97,27%</w:t>
            </w:r>
          </w:p>
        </w:tc>
        <w:tc>
          <w:tcPr>
            <w:tcW w:type="dxa" w:w="2520"/>
          </w:tcPr>
          <w:p>
            <w:r>
              <w:t>Correto</w:t>
            </w:r>
          </w:p>
        </w:tc>
      </w:tr>
      <w:tr>
        <w:tc>
          <w:tcPr>
            <w:tcW w:type="dxa" w:w="2520"/>
          </w:tcPr>
          <w:p>
            <w:r>
              <w:t>04</w:t>
            </w:r>
          </w:p>
        </w:tc>
        <w:tc>
          <w:tcPr>
            <w:tcW w:type="dxa" w:w="2520"/>
          </w:tcPr>
          <w:p>
            <w:r>
              <w:t>FECHAR</w:t>
            </w:r>
          </w:p>
        </w:tc>
        <w:tc>
          <w:tcPr>
            <w:tcW w:type="dxa" w:w="2520"/>
          </w:tcPr>
          <w:p>
            <w:r>
              <w:t>FECHAR 97,27%</w:t>
            </w:r>
          </w:p>
        </w:tc>
        <w:tc>
          <w:tcPr>
            <w:tcW w:type="dxa" w:w="2520"/>
          </w:tcPr>
          <w:p>
            <w:r>
              <w:t>Correto</w:t>
            </w:r>
          </w:p>
        </w:tc>
      </w:tr>
      <w:tr>
        <w:tc>
          <w:tcPr>
            <w:tcW w:type="dxa" w:w="2520"/>
          </w:tcPr>
          <w:p>
            <w:r>
              <w:t>05 – ElevenLabs</w:t>
            </w:r>
          </w:p>
        </w:tc>
        <w:tc>
          <w:tcPr>
            <w:tcW w:type="dxa" w:w="2520"/>
          </w:tcPr>
          <w:p>
            <w:r>
              <w:t>FECHAR</w:t>
            </w:r>
          </w:p>
        </w:tc>
        <w:tc>
          <w:tcPr>
            <w:tcW w:type="dxa" w:w="2520"/>
          </w:tcPr>
          <w:p>
            <w:r>
              <w:t>FECHAR 96,88%</w:t>
            </w:r>
          </w:p>
        </w:tc>
        <w:tc>
          <w:tcPr>
            <w:tcW w:type="dxa" w:w="2520"/>
          </w:tcPr>
          <w:p>
            <w:r>
              <w:t>Correto</w:t>
            </w:r>
          </w:p>
        </w:tc>
      </w:tr>
      <w:tr>
        <w:tc>
          <w:tcPr>
            <w:tcW w:type="dxa" w:w="2520"/>
          </w:tcPr>
          <w:p>
            <w:r>
              <w:t>06 – Audacity</w:t>
            </w:r>
          </w:p>
        </w:tc>
        <w:tc>
          <w:tcPr>
            <w:tcW w:type="dxa" w:w="2520"/>
          </w:tcPr>
          <w:p>
            <w:r>
              <w:t>ABRIR</w:t>
            </w:r>
          </w:p>
        </w:tc>
        <w:tc>
          <w:tcPr>
            <w:tcW w:type="dxa" w:w="2520"/>
          </w:tcPr>
          <w:p>
            <w:r>
              <w:t>FECHAR 96,88%</w:t>
            </w:r>
          </w:p>
        </w:tc>
        <w:tc>
          <w:tcPr>
            <w:tcW w:type="dxa" w:w="2520"/>
          </w:tcPr>
          <w:p>
            <w:r>
              <w:t>Incorreto</w:t>
            </w:r>
          </w:p>
        </w:tc>
      </w:tr>
    </w:tbl>
    <w:p>
      <w:r>
        <w:t>Os quatro primeiros áudios inéditos para a inferência embarcada foram classificados corretamente. O teste 05, com uma nova voz gerada no ElevenLabs, também foi correto. O teste 06, gravado por outra pessoa no Audacity, foi classificado incorretamente como FECHAR_PORTA com 96,88%. Esse erro é uma evidência útil: o pipeline funciona, mas o conjunto de treinamento ainda não oferece diversidade suficiente para garantir generalização entre locutores.</w:t>
      </w:r>
    </w:p>
    <w:p>
      <w:r>
        <w:drawing>
          <wp:inline xmlns:a="http://schemas.openxmlformats.org/drawingml/2006/main" xmlns:pic="http://schemas.openxmlformats.org/drawingml/2006/picture">
            <wp:extent cx="4206240" cy="41758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E_AUDIO_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175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4957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E_AUDIO_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5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Interpretação do servo e aplicação física</w:t>
      </w:r>
    </w:p>
    <w:p>
      <w:r>
        <w:t>No simulador, o servo representa o atuador mecânico. Em uma implementação física, ABRIR_PORTA pode acionar a maçaneta ou o trinco e retornar à posição inicial; FECHAR_PORTA pode usar uma rotação de 90° para representar o travamento da fechadura. O movimento exato dependeria do mecanismo mecânico real.</w:t>
      </w:r>
    </w:p>
    <w:p>
      <w:pPr>
        <w:pStyle w:val="Heading1"/>
      </w:pPr>
      <w:r>
        <w:t>10. Conclusões e próximos passos</w:t>
      </w:r>
    </w:p>
    <w:p>
      <w:r>
        <w:t>O projeto chegou a um pipeline Edge AI completo e executável no ESP32-S3/Wokwi. A inferência ocorre localmente: o áudio é convertido em características MFCC, quantizado e classificado no próprio dispositivo, que então aciona o servo.</w:t>
      </w:r>
    </w:p>
    <w:p>
      <w:pPr>
        <w:pStyle w:val="ListBullet"/>
      </w:pPr>
      <w:r>
        <w:t>Ampliar o dataset com vários locutores para as duas classes.</w:t>
      </w:r>
    </w:p>
    <w:p>
      <w:pPr>
        <w:pStyle w:val="ListBullet"/>
      </w:pPr>
      <w:r>
        <w:t>Manter os áudios externos atuais fora do treinamento para comparação futura.</w:t>
      </w:r>
    </w:p>
    <w:p>
      <w:pPr>
        <w:pStyle w:val="ListBullet"/>
      </w:pPr>
      <w:r>
        <w:t>Retreinar e repetir os mesmos testes para medir a melhoria de generalização.</w:t>
      </w:r>
    </w:p>
    <w:p>
      <w:pPr>
        <w:pStyle w:val="ListBullet"/>
      </w:pPr>
      <w:r>
        <w:t>Depois, reduzir os prints de diagnóstico e preparar a versão final para demonstração em vídeo e apresentação.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