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06EB3" w14:textId="77777777" w:rsidR="0083301D" w:rsidRDefault="0083301D">
      <w:pPr>
        <w:spacing w:line="240" w:lineRule="auto"/>
        <w:jc w:val="center"/>
        <w:rPr>
          <w:rFonts w:ascii="Times New Roman" w:eastAsia="Times New Roman" w:hAnsi="Times New Roman" w:cs="Times New Roman"/>
          <w:sz w:val="24"/>
          <w:szCs w:val="24"/>
        </w:rPr>
      </w:pPr>
    </w:p>
    <w:p w14:paraId="40A390A9" w14:textId="77777777" w:rsidR="0083301D" w:rsidRDefault="0000000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Por que escolhemos o CrossFit? Uma análise de conteúdo com suporte de LLM</w:t>
      </w:r>
    </w:p>
    <w:p w14:paraId="5DF16FBF" w14:textId="77777777" w:rsidR="0083301D" w:rsidRDefault="0083301D">
      <w:pPr>
        <w:widowControl w:val="0"/>
        <w:spacing w:line="360" w:lineRule="auto"/>
        <w:rPr>
          <w:rFonts w:ascii="Times New Roman" w:eastAsia="Times New Roman" w:hAnsi="Times New Roman" w:cs="Times New Roman"/>
          <w:sz w:val="24"/>
          <w:szCs w:val="24"/>
          <w:highlight w:val="white"/>
        </w:rPr>
      </w:pPr>
    </w:p>
    <w:p w14:paraId="1258CFC0"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CrossFit, como modalidade de treino físico, tem ganho crescente popularidade nas últimas décadas. Caracterizado pela sua alta intensidade e variedade de exercícios, o CrossFit atrai um público diverso, buscando diferentes objetivos. O presente projeto de pesquisa propõe descrever e analisar os aspectos motivacionais que levam os indivíduos a aderirem à prática de CrossFit, utilizando-se da análise de conteúdo.</w:t>
      </w:r>
    </w:p>
    <w:p w14:paraId="7426B8A9"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motivação para a prática de atividade física, como o CrossFit, pode ser influenciada por diversos fatores, tanto intrínsecos como extrínsecos. </w:t>
      </w:r>
    </w:p>
    <w:p w14:paraId="0C872947"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Motivação Intrínseca, refere-se ao prazer e satisfação pessoal derivados da própria atividade, tal motivação é proveniente do próprio sujeito, gerando um bem-estar psicológico, interesse e alegria (Ryan e Deci, 2000). No contexto do CrossFit, a superação de desafios, o sentimento de realização e a busca por bem-estar psicológico podem ser considerados fatores motivacionais intrínsecos, como evidenciado nas entrevistas.</w:t>
      </w:r>
    </w:p>
    <w:p w14:paraId="38474244"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Motivação Extrínseca, envolve fatores externos à atividade em si, como a busca por estética, reconhecimento social ou pressão de terceiros. A influência de amigos e familiares, a busca por emagrecimento e a procura por um corpo dentro dos padrões sociais podem ser considerados exemplos de motivação extrínseca.</w:t>
      </w:r>
    </w:p>
    <w:p w14:paraId="20C5EA65"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Esta investigação será conduzida como um estudo de campo de natureza descritiva e exploratória, empregando uma metodologia qualitativa (Banks, 2019). Esse tipo de abordagem busca aprofundar-se nos significados atribuídos às ações e relações humanas (Minayo, 2007). Estudos de campo se caracterizam pela observação direta de um grupo específico e pela análise de entrevistas e reportagens, cujo propósito é capturar as interpretações e compreensões dos membros desse grupo (Gil, 2010). Segundo Gil (2010), pesquisas descritivas se concentram nas características de um determinado grupo ou população.</w:t>
      </w:r>
    </w:p>
    <w:p w14:paraId="63BDE74D"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Para este estudo, serão selecionadas entrevistas e reportagens de praticantes e treinadores de CrossFit disponíveis na plataforma YouTube. Esse ambiente virtual será escolhido por ser uma fonte ampla e acessível para a publicação e o consumo de vídeos informativos sobre a prática do CrossFit. A busca será realizada com as palavras-chave "praticantes", "motivação" e "CrossFit", o que possibilitará a identificação de conteúdos relevantes.</w:t>
      </w:r>
    </w:p>
    <w:p w14:paraId="075F612C"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Os vídeos que serão selecionados incluirão explicações sobre a modalidade e entrevistas com praticantes e treinadores. Após um processo criterioso, será definido um conjunto </w:t>
      </w:r>
      <w:r>
        <w:rPr>
          <w:rFonts w:ascii="Times New Roman" w:eastAsia="Times New Roman" w:hAnsi="Times New Roman" w:cs="Times New Roman"/>
          <w:sz w:val="24"/>
          <w:szCs w:val="24"/>
          <w:highlight w:val="white"/>
        </w:rPr>
        <w:lastRenderedPageBreak/>
        <w:t>significativo de vídeos, que serão transcritos para análise. O público-alvo das entrevistas deve abranger praticantes e treinadores adultos, de ambos os sexos na modalidade.</w:t>
      </w:r>
    </w:p>
    <w:p w14:paraId="711F938C"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transcrições das entrevistas contarão com o suporte da ferramenta </w:t>
      </w:r>
      <w:r>
        <w:rPr>
          <w:rFonts w:ascii="Times New Roman" w:eastAsia="Times New Roman" w:hAnsi="Times New Roman" w:cs="Times New Roman"/>
          <w:i/>
          <w:sz w:val="24"/>
          <w:szCs w:val="24"/>
          <w:highlight w:val="white"/>
        </w:rPr>
        <w:t>NotebookLM</w:t>
      </w:r>
      <w:r>
        <w:rPr>
          <w:rFonts w:ascii="Times New Roman" w:eastAsia="Times New Roman" w:hAnsi="Times New Roman" w:cs="Times New Roman"/>
          <w:sz w:val="24"/>
          <w:szCs w:val="24"/>
          <w:highlight w:val="white"/>
        </w:rPr>
        <w:t xml:space="preserve">, que auxilia pesquisadores ao gerar textos a partir de links do YouTube. A ferramenta também facilita a identificação do entrevistador e dos entrevistados por meio de </w:t>
      </w:r>
      <w:r>
        <w:rPr>
          <w:rFonts w:ascii="Times New Roman" w:eastAsia="Times New Roman" w:hAnsi="Times New Roman" w:cs="Times New Roman"/>
          <w:i/>
          <w:sz w:val="24"/>
          <w:szCs w:val="24"/>
          <w:highlight w:val="white"/>
        </w:rPr>
        <w:t xml:space="preserve">prompts </w:t>
      </w:r>
      <w:r>
        <w:rPr>
          <w:rFonts w:ascii="Times New Roman" w:eastAsia="Times New Roman" w:hAnsi="Times New Roman" w:cs="Times New Roman"/>
          <w:sz w:val="24"/>
          <w:szCs w:val="24"/>
          <w:highlight w:val="white"/>
        </w:rPr>
        <w:t>específicos, garantindo maior precisão no registro das falas.</w:t>
      </w:r>
    </w:p>
    <w:p w14:paraId="636C5566"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procedimento de análise de conteúdo seguirá uma estrutura de três etapas: pré-análise, exploração do material e tratamento dos dados e interpretações (Bardin, 1977), conforme adaptação ilustrada na Figura 1. Será utilizada a técnica de análise de conteúdo temática por frequência. De acordo com Bardin, a pré-análise tem como objetivo sistematizar as ideias iniciais, permitindo a construção de um esquema claro para orientar o desenvolvimento das operações subsequentes. Nessa etapa, as transcrições serão armazenadas no repositório de dados da pesquisa, além de serem realizadas leituras preliminares de algumas entrevistas para facilitar a compreensão do contexto dos depoimentos.</w:t>
      </w:r>
    </w:p>
    <w:p w14:paraId="4E15077D"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 segunda etapa, devido à expectativa do alto volume de vídeos coletados no YouTube, a pesquisa fará uso de inteligência artificial para ajustar no processo identificação dos trechos conforme codificação previamente elaborada pelo pesquisador. Assim, o material será inicialmente dividido em dois grupos de informações. </w:t>
      </w:r>
    </w:p>
    <w:p w14:paraId="17CD33A9"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primeiro grupo, composto por 30% dos entrevistados selecionados aleatoriamente, será analisado detalhadamente com o objetivo de identificar e extrair trechos de texto para a construção dos códigos de análise. Esses códigos correspondem a fragmentos classificados como temas. Segundo Bardin (1977), o tema é frequentemente utilizado como unidade de registro para o estudo de motivações, opiniões, atitudes, valores, crenças e tendências. Essa definição é particularmente adequada para este estudo, cujo objetivo é identificar os motivos que levam à prática do CrossFit.</w:t>
      </w:r>
    </w:p>
    <w:p w14:paraId="3643876D" w14:textId="77777777" w:rsidR="0083301D" w:rsidRDefault="0083301D">
      <w:pPr>
        <w:widowControl w:val="0"/>
        <w:spacing w:line="360" w:lineRule="auto"/>
        <w:ind w:firstLine="720"/>
        <w:jc w:val="both"/>
        <w:rPr>
          <w:rFonts w:ascii="Times New Roman" w:eastAsia="Times New Roman" w:hAnsi="Times New Roman" w:cs="Times New Roman"/>
          <w:sz w:val="24"/>
          <w:szCs w:val="24"/>
          <w:highlight w:val="white"/>
        </w:rPr>
      </w:pPr>
    </w:p>
    <w:p w14:paraId="57AF40CE" w14:textId="77777777" w:rsidR="0083301D" w:rsidRDefault="0083301D">
      <w:pPr>
        <w:widowControl w:val="0"/>
        <w:spacing w:line="360" w:lineRule="auto"/>
        <w:ind w:firstLine="720"/>
        <w:jc w:val="both"/>
        <w:rPr>
          <w:rFonts w:ascii="Times New Roman" w:eastAsia="Times New Roman" w:hAnsi="Times New Roman" w:cs="Times New Roman"/>
          <w:sz w:val="24"/>
          <w:szCs w:val="24"/>
          <w:highlight w:val="white"/>
        </w:rPr>
      </w:pPr>
    </w:p>
    <w:p w14:paraId="7956015D" w14:textId="77777777" w:rsidR="0083301D" w:rsidRDefault="0083301D">
      <w:pPr>
        <w:widowControl w:val="0"/>
        <w:spacing w:line="360" w:lineRule="auto"/>
        <w:ind w:firstLine="720"/>
        <w:jc w:val="both"/>
        <w:rPr>
          <w:rFonts w:ascii="Times New Roman" w:eastAsia="Times New Roman" w:hAnsi="Times New Roman" w:cs="Times New Roman"/>
          <w:sz w:val="24"/>
          <w:szCs w:val="24"/>
          <w:highlight w:val="white"/>
        </w:rPr>
      </w:pPr>
    </w:p>
    <w:p w14:paraId="737F4784" w14:textId="77777777" w:rsidR="0083301D" w:rsidRDefault="0083301D">
      <w:pPr>
        <w:widowControl w:val="0"/>
        <w:spacing w:line="360" w:lineRule="auto"/>
        <w:ind w:firstLine="720"/>
        <w:jc w:val="both"/>
        <w:rPr>
          <w:rFonts w:ascii="Times New Roman" w:eastAsia="Times New Roman" w:hAnsi="Times New Roman" w:cs="Times New Roman"/>
          <w:sz w:val="24"/>
          <w:szCs w:val="24"/>
          <w:highlight w:val="white"/>
        </w:rPr>
      </w:pPr>
    </w:p>
    <w:p w14:paraId="74E7812B" w14:textId="77777777" w:rsidR="0083301D" w:rsidRDefault="0083301D">
      <w:pPr>
        <w:widowControl w:val="0"/>
        <w:spacing w:line="360" w:lineRule="auto"/>
        <w:ind w:firstLine="720"/>
        <w:jc w:val="both"/>
        <w:rPr>
          <w:rFonts w:ascii="Times New Roman" w:eastAsia="Times New Roman" w:hAnsi="Times New Roman" w:cs="Times New Roman"/>
          <w:sz w:val="24"/>
          <w:szCs w:val="24"/>
          <w:highlight w:val="white"/>
        </w:rPr>
      </w:pPr>
    </w:p>
    <w:p w14:paraId="70535650" w14:textId="77777777" w:rsidR="0083301D" w:rsidRDefault="0083301D">
      <w:pPr>
        <w:widowControl w:val="0"/>
        <w:spacing w:line="360" w:lineRule="auto"/>
        <w:ind w:firstLine="720"/>
        <w:jc w:val="both"/>
        <w:rPr>
          <w:rFonts w:ascii="Times New Roman" w:eastAsia="Times New Roman" w:hAnsi="Times New Roman" w:cs="Times New Roman"/>
          <w:sz w:val="24"/>
          <w:szCs w:val="24"/>
          <w:highlight w:val="white"/>
        </w:rPr>
      </w:pPr>
    </w:p>
    <w:p w14:paraId="48233977" w14:textId="77777777" w:rsidR="0083301D" w:rsidRDefault="00000000">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Figura 1 - Desenvolvimento de uma análise com LLM</w:t>
      </w:r>
    </w:p>
    <w:p w14:paraId="0A60748F" w14:textId="77777777" w:rsidR="0083301D" w:rsidRDefault="00000000">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27B138EC" wp14:editId="54E17A71">
            <wp:extent cx="5761045" cy="4622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61045" cy="4622800"/>
                    </a:xfrm>
                    <a:prstGeom prst="rect">
                      <a:avLst/>
                    </a:prstGeom>
                    <a:ln/>
                  </pic:spPr>
                </pic:pic>
              </a:graphicData>
            </a:graphic>
          </wp:inline>
        </w:drawing>
      </w:r>
    </w:p>
    <w:p w14:paraId="31643BC3" w14:textId="77777777" w:rsidR="0083301D" w:rsidRDefault="00000000">
      <w:pPr>
        <w:widowControl w:val="0"/>
        <w:spacing w:after="200"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Fonte: Elaborado pelo autor</w:t>
      </w:r>
    </w:p>
    <w:p w14:paraId="6D5568F3"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Os códigos serão criados manualmente pelo pesquisador por meio da plataforma Atlas.TI. Como resultado dessa etapa, será elaborada uma planilha relacionando os trechos das transcrições que fundamentaram a criação dos códigos correspondentes. Ainda na segunda etapa, os outros 70% das transcrições das entrevistas serão utilizados para identificar trechos que se enquadram nos códigos previamente criados. Nessa fase, a análise será realizada com o auxílio de um LLM (</w:t>
      </w:r>
      <w:r>
        <w:rPr>
          <w:rFonts w:ascii="Times New Roman" w:eastAsia="Times New Roman" w:hAnsi="Times New Roman" w:cs="Times New Roman"/>
          <w:i/>
          <w:sz w:val="24"/>
          <w:szCs w:val="24"/>
          <w:highlight w:val="white"/>
        </w:rPr>
        <w:t>Large Language Model</w:t>
      </w:r>
      <w:r>
        <w:rPr>
          <w:rFonts w:ascii="Times New Roman" w:eastAsia="Times New Roman" w:hAnsi="Times New Roman" w:cs="Times New Roman"/>
          <w:sz w:val="24"/>
          <w:szCs w:val="24"/>
          <w:highlight w:val="white"/>
        </w:rPr>
        <w:t>), que permitirá uma abordagem automatizada.</w:t>
      </w:r>
    </w:p>
    <w:p w14:paraId="00A82C91"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Para a automatização, será desenvolvido um </w:t>
      </w:r>
      <w:r>
        <w:rPr>
          <w:rFonts w:ascii="Times New Roman" w:eastAsia="Times New Roman" w:hAnsi="Times New Roman" w:cs="Times New Roman"/>
          <w:i/>
          <w:sz w:val="24"/>
          <w:szCs w:val="24"/>
          <w:highlight w:val="white"/>
        </w:rPr>
        <w:t xml:space="preserve">script </w:t>
      </w:r>
      <w:r>
        <w:rPr>
          <w:rFonts w:ascii="Times New Roman" w:eastAsia="Times New Roman" w:hAnsi="Times New Roman" w:cs="Times New Roman"/>
          <w:sz w:val="24"/>
          <w:szCs w:val="24"/>
          <w:highlight w:val="white"/>
        </w:rPr>
        <w:t xml:space="preserve">em </w:t>
      </w:r>
      <w:r>
        <w:rPr>
          <w:rFonts w:ascii="Times New Roman" w:eastAsia="Times New Roman" w:hAnsi="Times New Roman" w:cs="Times New Roman"/>
          <w:i/>
          <w:sz w:val="24"/>
          <w:szCs w:val="24"/>
          <w:highlight w:val="white"/>
        </w:rPr>
        <w:t xml:space="preserve">Python </w:t>
      </w:r>
      <w:r>
        <w:rPr>
          <w:rFonts w:ascii="Times New Roman" w:eastAsia="Times New Roman" w:hAnsi="Times New Roman" w:cs="Times New Roman"/>
          <w:sz w:val="24"/>
          <w:szCs w:val="24"/>
          <w:highlight w:val="white"/>
        </w:rPr>
        <w:t xml:space="preserve">capaz de enviar </w:t>
      </w:r>
      <w:r>
        <w:rPr>
          <w:rFonts w:ascii="Times New Roman" w:eastAsia="Times New Roman" w:hAnsi="Times New Roman" w:cs="Times New Roman"/>
          <w:i/>
          <w:sz w:val="24"/>
          <w:szCs w:val="24"/>
          <w:highlight w:val="white"/>
        </w:rPr>
        <w:t xml:space="preserve">prompts </w:t>
      </w:r>
      <w:r>
        <w:rPr>
          <w:rFonts w:ascii="Times New Roman" w:eastAsia="Times New Roman" w:hAnsi="Times New Roman" w:cs="Times New Roman"/>
          <w:sz w:val="24"/>
          <w:szCs w:val="24"/>
          <w:highlight w:val="white"/>
        </w:rPr>
        <w:t xml:space="preserve">ao LLM com instruções detalhadas, exemplos de classificações realizadas manualmente e especificações do formato de retorno dos dados, conforme ilustrado na Figura 2. Esse processo automatizado permitirá identificar os trechos do segundo grupo de transcrições que serão associados aos códigos já estabelecidos. Por fim, os dois grupos codificados serão consolidados em um único grupo e submetidos ao processo de categorização. </w:t>
      </w:r>
    </w:p>
    <w:p w14:paraId="4EC25492" w14:textId="77777777" w:rsidR="0083301D" w:rsidRDefault="00000000">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Figura 2 - Estrutura do </w:t>
      </w:r>
      <w:r>
        <w:rPr>
          <w:rFonts w:ascii="Times New Roman" w:eastAsia="Times New Roman" w:hAnsi="Times New Roman" w:cs="Times New Roman"/>
          <w:i/>
          <w:sz w:val="24"/>
          <w:szCs w:val="24"/>
          <w:highlight w:val="white"/>
        </w:rPr>
        <w:t xml:space="preserve">Prompt </w:t>
      </w:r>
      <w:r>
        <w:rPr>
          <w:rFonts w:ascii="Times New Roman" w:eastAsia="Times New Roman" w:hAnsi="Times New Roman" w:cs="Times New Roman"/>
          <w:sz w:val="24"/>
          <w:szCs w:val="24"/>
          <w:highlight w:val="white"/>
        </w:rPr>
        <w:t>enviado para LLM</w:t>
      </w:r>
    </w:p>
    <w:p w14:paraId="10335117" w14:textId="77777777" w:rsidR="0083301D" w:rsidRDefault="00000000">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6923308B" wp14:editId="060A2921">
            <wp:extent cx="5761045" cy="236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61045" cy="2362200"/>
                    </a:xfrm>
                    <a:prstGeom prst="rect">
                      <a:avLst/>
                    </a:prstGeom>
                    <a:ln/>
                  </pic:spPr>
                </pic:pic>
              </a:graphicData>
            </a:graphic>
          </wp:inline>
        </w:drawing>
      </w:r>
    </w:p>
    <w:p w14:paraId="1BBA9B73" w14:textId="77777777" w:rsidR="0083301D" w:rsidRDefault="00000000">
      <w:pPr>
        <w:widowControl w:val="0"/>
        <w:spacing w:after="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Fonte: Elaborado pelo autor</w:t>
      </w:r>
    </w:p>
    <w:p w14:paraId="60EA582D" w14:textId="77777777" w:rsidR="0083301D" w:rsidRDefault="00000000">
      <w:pPr>
        <w:widowControl w:v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 etapa final, a categoria analítica sobre os aspectos motivacionais do CrossFit será classificada dentro da perspectiva das motivações intrínsecas e extrínsecas. Tanto os trechos quanto os códigos e as categorias serão estruturados, marcando o início da análise e apresentação dos resultados na seção seguinte.</w:t>
      </w:r>
    </w:p>
    <w:p w14:paraId="1945A88B" w14:textId="77777777" w:rsidR="0083301D" w:rsidRDefault="0083301D">
      <w:pPr>
        <w:widowControl w:val="0"/>
        <w:spacing w:after="200"/>
        <w:ind w:firstLine="720"/>
        <w:jc w:val="both"/>
        <w:rPr>
          <w:rFonts w:ascii="Times New Roman" w:eastAsia="Times New Roman" w:hAnsi="Times New Roman" w:cs="Times New Roman"/>
          <w:sz w:val="24"/>
          <w:szCs w:val="24"/>
          <w:highlight w:val="white"/>
        </w:rPr>
      </w:pPr>
    </w:p>
    <w:p w14:paraId="205F8915" w14:textId="77777777" w:rsidR="0083301D" w:rsidRDefault="00000000">
      <w:pPr>
        <w:widowControl w:val="0"/>
        <w:spacing w:after="20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REFERENCES</w:t>
      </w:r>
    </w:p>
    <w:p w14:paraId="0C1AA108" w14:textId="77777777" w:rsidR="0083301D" w:rsidRDefault="00000000">
      <w:pPr>
        <w:widowControl w:val="0"/>
        <w:spacing w:after="20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BANKS, M. </w:t>
      </w:r>
      <w:r>
        <w:rPr>
          <w:rFonts w:ascii="Times New Roman" w:eastAsia="Times New Roman" w:hAnsi="Times New Roman" w:cs="Times New Roman"/>
          <w:b/>
          <w:sz w:val="24"/>
          <w:szCs w:val="24"/>
          <w:highlight w:val="white"/>
        </w:rPr>
        <w:t>Dados visuais para a pesquisa qualitativa</w:t>
      </w:r>
      <w:r>
        <w:rPr>
          <w:rFonts w:ascii="Times New Roman" w:eastAsia="Times New Roman" w:hAnsi="Times New Roman" w:cs="Times New Roman"/>
          <w:sz w:val="24"/>
          <w:szCs w:val="24"/>
          <w:highlight w:val="white"/>
        </w:rPr>
        <w:t>. Porto Alegre: Artmed, 2009. 176 p.</w:t>
      </w:r>
    </w:p>
    <w:p w14:paraId="74A05E6F" w14:textId="77777777" w:rsidR="0083301D" w:rsidRDefault="00000000">
      <w:pPr>
        <w:widowControl w:val="0"/>
        <w:spacing w:after="20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BARDIN, Laurence. </w:t>
      </w:r>
      <w:r>
        <w:rPr>
          <w:rFonts w:ascii="Times New Roman" w:eastAsia="Times New Roman" w:hAnsi="Times New Roman" w:cs="Times New Roman"/>
          <w:b/>
          <w:sz w:val="24"/>
          <w:szCs w:val="24"/>
          <w:highlight w:val="white"/>
        </w:rPr>
        <w:t>Análise de conteúdo</w:t>
      </w:r>
      <w:r>
        <w:rPr>
          <w:rFonts w:ascii="Times New Roman" w:eastAsia="Times New Roman" w:hAnsi="Times New Roman" w:cs="Times New Roman"/>
          <w:sz w:val="24"/>
          <w:szCs w:val="24"/>
          <w:highlight w:val="white"/>
        </w:rPr>
        <w:t>. Lisboa: Edições 70, 1977.</w:t>
      </w:r>
    </w:p>
    <w:p w14:paraId="4753C0CF" w14:textId="77777777" w:rsidR="0083301D" w:rsidRDefault="00000000">
      <w:pPr>
        <w:widowControl w:val="0"/>
        <w:spacing w:after="20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Minayo, M. </w:t>
      </w:r>
      <w:r>
        <w:rPr>
          <w:rFonts w:ascii="Times New Roman" w:eastAsia="Times New Roman" w:hAnsi="Times New Roman" w:cs="Times New Roman"/>
          <w:b/>
          <w:sz w:val="24"/>
          <w:szCs w:val="24"/>
          <w:highlight w:val="white"/>
        </w:rPr>
        <w:t>O desafio do conhecimento: pesquisa qualitativa em saúde</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São Paulo: Hucitec; 2007.</w:t>
      </w:r>
    </w:p>
    <w:p w14:paraId="7318A208" w14:textId="77777777" w:rsidR="0083301D" w:rsidRDefault="00000000">
      <w:pPr>
        <w:widowControl w:val="0"/>
        <w:spacing w:after="20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GIL, A. C. </w:t>
      </w:r>
      <w:r>
        <w:rPr>
          <w:rFonts w:ascii="Times New Roman" w:eastAsia="Times New Roman" w:hAnsi="Times New Roman" w:cs="Times New Roman"/>
          <w:b/>
          <w:sz w:val="24"/>
          <w:szCs w:val="24"/>
          <w:highlight w:val="white"/>
        </w:rPr>
        <w:t>Como elaborar projetos de pesquisa</w:t>
      </w:r>
      <w:r>
        <w:rPr>
          <w:rFonts w:ascii="Times New Roman" w:eastAsia="Times New Roman" w:hAnsi="Times New Roman" w:cs="Times New Roman"/>
          <w:sz w:val="24"/>
          <w:szCs w:val="24"/>
          <w:highlight w:val="white"/>
        </w:rPr>
        <w:t>. 5. ed. São Paulo: Atlas, 2010</w:t>
      </w:r>
    </w:p>
    <w:p w14:paraId="130D0F22" w14:textId="77777777" w:rsidR="0083301D" w:rsidRDefault="00000000">
      <w:pPr>
        <w:widowControl w:val="0"/>
        <w:spacing w:after="20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Deci, E. L.; Ryan, R. M. </w:t>
      </w:r>
      <w:r>
        <w:rPr>
          <w:rFonts w:ascii="Times New Roman" w:eastAsia="Times New Roman" w:hAnsi="Times New Roman" w:cs="Times New Roman"/>
          <w:b/>
          <w:sz w:val="24"/>
          <w:szCs w:val="24"/>
          <w:highlight w:val="white"/>
        </w:rPr>
        <w:t>Intrinsic motivation and self-determination in human behavior</w:t>
      </w:r>
      <w:r>
        <w:rPr>
          <w:rFonts w:ascii="Times New Roman" w:eastAsia="Times New Roman" w:hAnsi="Times New Roman" w:cs="Times New Roman"/>
          <w:sz w:val="24"/>
          <w:szCs w:val="24"/>
          <w:highlight w:val="white"/>
        </w:rPr>
        <w:t>. New York: Plenum Press, 1985.</w:t>
      </w:r>
    </w:p>
    <w:p w14:paraId="770A5980" w14:textId="77777777" w:rsidR="0083301D" w:rsidRDefault="0083301D">
      <w:pPr>
        <w:widowControl w:val="0"/>
        <w:spacing w:after="200" w:line="240" w:lineRule="auto"/>
        <w:ind w:left="720"/>
        <w:rPr>
          <w:rFonts w:ascii="Times New Roman" w:eastAsia="Times New Roman" w:hAnsi="Times New Roman" w:cs="Times New Roman"/>
          <w:sz w:val="24"/>
          <w:szCs w:val="24"/>
          <w:highlight w:val="white"/>
        </w:rPr>
      </w:pPr>
    </w:p>
    <w:p w14:paraId="63186EA5" w14:textId="77777777" w:rsidR="0083301D" w:rsidRDefault="0083301D">
      <w:pPr>
        <w:widowControl w:val="0"/>
        <w:spacing w:line="240" w:lineRule="auto"/>
        <w:ind w:left="720"/>
        <w:rPr>
          <w:rFonts w:ascii="Times New Roman" w:eastAsia="Times New Roman" w:hAnsi="Times New Roman" w:cs="Times New Roman"/>
          <w:sz w:val="24"/>
          <w:szCs w:val="24"/>
          <w:highlight w:val="white"/>
        </w:rPr>
      </w:pPr>
    </w:p>
    <w:p w14:paraId="3B59A68E" w14:textId="77777777" w:rsidR="0083301D" w:rsidRDefault="0083301D">
      <w:pPr>
        <w:spacing w:after="120" w:line="240" w:lineRule="auto"/>
        <w:jc w:val="both"/>
        <w:rPr>
          <w:rFonts w:ascii="Times New Roman" w:eastAsia="Times New Roman" w:hAnsi="Times New Roman" w:cs="Times New Roman"/>
          <w:b/>
          <w:sz w:val="24"/>
          <w:szCs w:val="24"/>
        </w:rPr>
      </w:pPr>
    </w:p>
    <w:p w14:paraId="79575DAA" w14:textId="77777777" w:rsidR="0083301D" w:rsidRDefault="0083301D">
      <w:pPr>
        <w:spacing w:after="100" w:line="240" w:lineRule="auto"/>
        <w:jc w:val="both"/>
        <w:rPr>
          <w:rFonts w:ascii="Times New Roman" w:eastAsia="Times New Roman" w:hAnsi="Times New Roman" w:cs="Times New Roman"/>
          <w:sz w:val="24"/>
          <w:szCs w:val="24"/>
        </w:rPr>
      </w:pPr>
    </w:p>
    <w:sectPr w:rsidR="0083301D">
      <w:headerReference w:type="default" r:id="rId8"/>
      <w:pgSz w:w="11909" w:h="16834"/>
      <w:pgMar w:top="1700" w:right="1133" w:bottom="1133" w:left="1700" w:header="56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CD1B2" w14:textId="77777777" w:rsidR="005F13A3" w:rsidRDefault="005F13A3">
      <w:pPr>
        <w:spacing w:line="240" w:lineRule="auto"/>
      </w:pPr>
      <w:r>
        <w:separator/>
      </w:r>
    </w:p>
  </w:endnote>
  <w:endnote w:type="continuationSeparator" w:id="0">
    <w:p w14:paraId="5C20AC4E" w14:textId="77777777" w:rsidR="005F13A3" w:rsidRDefault="005F1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2FD85" w14:textId="77777777" w:rsidR="005F13A3" w:rsidRDefault="005F13A3">
      <w:pPr>
        <w:spacing w:line="240" w:lineRule="auto"/>
      </w:pPr>
      <w:r>
        <w:separator/>
      </w:r>
    </w:p>
  </w:footnote>
  <w:footnote w:type="continuationSeparator" w:id="0">
    <w:p w14:paraId="4CC37007" w14:textId="77777777" w:rsidR="005F13A3" w:rsidRDefault="005F13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9E75D" w14:textId="77777777" w:rsidR="0083301D" w:rsidRDefault="00000000">
    <w:r>
      <w:rPr>
        <w:noProof/>
      </w:rPr>
      <w:drawing>
        <wp:inline distT="114300" distB="114300" distL="114300" distR="114300" wp14:anchorId="23E5BE23" wp14:editId="3FBC0813">
          <wp:extent cx="952500" cy="6000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52500" cy="600075"/>
                  </a:xfrm>
                  <a:prstGeom prst="rect">
                    <a:avLst/>
                  </a:prstGeom>
                  <a:ln/>
                </pic:spPr>
              </pic:pic>
            </a:graphicData>
          </a:graphic>
        </wp:inline>
      </w:drawing>
    </w:r>
    <w:r>
      <w:t xml:space="preserve">                                                                                      </w:t>
    </w:r>
    <w:r>
      <w:rPr>
        <w:noProof/>
      </w:rPr>
      <w:drawing>
        <wp:inline distT="114300" distB="114300" distL="114300" distR="114300" wp14:anchorId="2B8EA60F" wp14:editId="1A85492B">
          <wp:extent cx="1381125" cy="6667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81125" cy="6667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1D"/>
    <w:rsid w:val="000930E3"/>
    <w:rsid w:val="000C6821"/>
    <w:rsid w:val="005F13A3"/>
    <w:rsid w:val="00817DF1"/>
    <w:rsid w:val="008330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FFED"/>
  <w15:docId w15:val="{20B536AC-8227-490B-BD3F-08D01BF5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5599</Characters>
  <Application>Microsoft Office Word</Application>
  <DocSecurity>0</DocSecurity>
  <Lines>46</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Silvio Filho</cp:lastModifiedBy>
  <cp:revision>3</cp:revision>
  <dcterms:created xsi:type="dcterms:W3CDTF">2024-11-20T21:10:00Z</dcterms:created>
  <dcterms:modified xsi:type="dcterms:W3CDTF">2024-11-20T21:10:00Z</dcterms:modified>
</cp:coreProperties>
</file>