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D6EA8" w14:textId="77777777" w:rsidR="00DC3BB6" w:rsidRDefault="00DC3BB6" w:rsidP="00DC3BB6">
      <w:pPr>
        <w:keepNext/>
      </w:pPr>
      <w:r w:rsidRPr="00DC3BB6">
        <w:rPr>
          <w:noProof/>
        </w:rPr>
        <w:drawing>
          <wp:inline distT="0" distB="0" distL="0" distR="0" wp14:anchorId="3A60B68E" wp14:editId="078760C0">
            <wp:extent cx="5731510" cy="3016250"/>
            <wp:effectExtent l="0" t="0" r="2540" b="0"/>
            <wp:docPr id="114988197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81976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FAABF" w14:textId="36673DE9" w:rsidR="00EA1C09" w:rsidRDefault="00DC3BB6" w:rsidP="00DC3BB6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 w:rsidRPr="00DC3BB6">
        <w:t xml:space="preserve">Predicted versus actual </w:t>
      </w:r>
      <w:proofErr w:type="spellStart"/>
      <w:r w:rsidR="00322BE8">
        <w:t>Tg</w:t>
      </w:r>
      <w:proofErr w:type="spellEnd"/>
      <w:r w:rsidR="00322BE8">
        <w:t xml:space="preserve"> </w:t>
      </w:r>
      <w:r w:rsidR="00322BE8" w:rsidRPr="00DC3BB6">
        <w:t>°C</w:t>
      </w:r>
      <w:r w:rsidRPr="00DC3BB6">
        <w:t>. The ensemble combines five base models (</w:t>
      </w:r>
      <w:r w:rsidR="00322BE8">
        <w:t>GBR</w:t>
      </w:r>
      <w:r w:rsidRPr="00DC3BB6">
        <w:t xml:space="preserve">, Random Forest, SVR, Lasso, </w:t>
      </w:r>
      <w:proofErr w:type="spellStart"/>
      <w:r w:rsidRPr="00DC3BB6">
        <w:t>ElasticNet</w:t>
      </w:r>
      <w:proofErr w:type="spellEnd"/>
      <w:r w:rsidRPr="00DC3BB6">
        <w:t>) with 10 estimators each</w:t>
      </w:r>
      <w:r w:rsidR="00322BE8">
        <w:t xml:space="preserve"> (for </w:t>
      </w:r>
      <w:proofErr w:type="gramStart"/>
      <w:r w:rsidR="00322BE8">
        <w:t>tree based</w:t>
      </w:r>
      <w:proofErr w:type="gramEnd"/>
      <w:r w:rsidR="00322BE8">
        <w:t xml:space="preserve"> models)</w:t>
      </w:r>
      <w:r w:rsidRPr="00DC3BB6">
        <w:t>, trained on the optimal feature combination [Lignin (</w:t>
      </w:r>
      <w:proofErr w:type="spellStart"/>
      <w:r w:rsidRPr="00DC3BB6">
        <w:t>wt</w:t>
      </w:r>
      <w:proofErr w:type="spellEnd"/>
      <w:r w:rsidRPr="00DC3BB6">
        <w:t xml:space="preserve">%), Co-polyol type (PTHF), </w:t>
      </w:r>
      <w:r w:rsidR="00322BE8">
        <w:t>Ratio</w:t>
      </w:r>
      <w:r w:rsidRPr="00DC3BB6">
        <w:t xml:space="preserve">, </w:t>
      </w:r>
      <w:proofErr w:type="spellStart"/>
      <w:r w:rsidRPr="00DC3BB6">
        <w:t>Copolyol</w:t>
      </w:r>
      <w:proofErr w:type="spellEnd"/>
      <w:r w:rsidRPr="00DC3BB6">
        <w:t xml:space="preserve"> (</w:t>
      </w:r>
      <w:proofErr w:type="spellStart"/>
      <w:r w:rsidRPr="00DC3BB6">
        <w:t>wt</w:t>
      </w:r>
      <w:proofErr w:type="spellEnd"/>
      <w:r w:rsidRPr="00DC3BB6">
        <w:t>%), Isocyanate (</w:t>
      </w:r>
      <w:proofErr w:type="spellStart"/>
      <w:r w:rsidRPr="00DC3BB6">
        <w:t>wt</w:t>
      </w:r>
      <w:proofErr w:type="spellEnd"/>
      <w:r w:rsidRPr="00DC3BB6">
        <w:t xml:space="preserve">%)]. Plot A shows the correlation between predicted and actual </w:t>
      </w:r>
      <w:proofErr w:type="spellStart"/>
      <w:r w:rsidRPr="00DC3BB6">
        <w:t>Tg</w:t>
      </w:r>
      <w:proofErr w:type="spellEnd"/>
      <w:r w:rsidRPr="00DC3BB6">
        <w:t xml:space="preserve"> values for validation and test datasets (n=32), with a Pearson correlation coefficient of r = 0.73 and mean absolute error of 14.29°C. Plot B displays residual analysis showing prediction errors randomly distributed around the zero line, indicating no systematic bias in model predictions. </w:t>
      </w:r>
    </w:p>
    <w:p w14:paraId="2B4055A4" w14:textId="77777777" w:rsidR="00DC3BB6" w:rsidRDefault="00DC3BB6" w:rsidP="00DC3BB6"/>
    <w:p w14:paraId="653B4FA3" w14:textId="783F4CBA" w:rsidR="00DC3BB6" w:rsidRPr="00DC3BB6" w:rsidRDefault="00DC3BB6" w:rsidP="00DC3BB6">
      <w:r w:rsidRPr="00DC3BB6">
        <w:t xml:space="preserve">The ensemble model demonstrates moderate predictive capability for polymer </w:t>
      </w:r>
      <w:proofErr w:type="spellStart"/>
      <w:r w:rsidRPr="00DC3BB6">
        <w:t>Tg</w:t>
      </w:r>
      <w:proofErr w:type="spellEnd"/>
      <w:r w:rsidRPr="00DC3BB6">
        <w:t xml:space="preserve"> prediction based on compositional parameters. The correlation coefficient of 0.73 and MAE of ~14°C indicate the model captures approximately 53% of the variance in </w:t>
      </w:r>
      <w:proofErr w:type="spellStart"/>
      <w:r w:rsidRPr="00DC3BB6">
        <w:t>Tg</w:t>
      </w:r>
      <w:proofErr w:type="spellEnd"/>
      <w:r w:rsidRPr="00DC3BB6">
        <w:t xml:space="preserve"> values while maintaining prediction errors within reasonable bounds for materials design applications. The residual analysis confirms model reliability across the temperature range with no systematic prediction biases.</w:t>
      </w:r>
    </w:p>
    <w:sectPr w:rsidR="00DC3BB6" w:rsidRPr="00DC3B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0ED5E" w14:textId="77777777" w:rsidR="00813931" w:rsidRDefault="00813931" w:rsidP="00322BE8">
      <w:pPr>
        <w:spacing w:after="0" w:line="240" w:lineRule="auto"/>
      </w:pPr>
      <w:r>
        <w:separator/>
      </w:r>
    </w:p>
  </w:endnote>
  <w:endnote w:type="continuationSeparator" w:id="0">
    <w:p w14:paraId="6DE36A9F" w14:textId="77777777" w:rsidR="00813931" w:rsidRDefault="00813931" w:rsidP="00322B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EECAC" w14:textId="77777777" w:rsidR="00813931" w:rsidRDefault="00813931" w:rsidP="00322BE8">
      <w:pPr>
        <w:spacing w:after="0" w:line="240" w:lineRule="auto"/>
      </w:pPr>
      <w:r>
        <w:separator/>
      </w:r>
    </w:p>
  </w:footnote>
  <w:footnote w:type="continuationSeparator" w:id="0">
    <w:p w14:paraId="4E9E1048" w14:textId="77777777" w:rsidR="00813931" w:rsidRDefault="00813931" w:rsidP="00322B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BB6"/>
    <w:rsid w:val="00055077"/>
    <w:rsid w:val="001322F6"/>
    <w:rsid w:val="00322BE8"/>
    <w:rsid w:val="00813931"/>
    <w:rsid w:val="00945545"/>
    <w:rsid w:val="00DC3BB6"/>
    <w:rsid w:val="00E84159"/>
    <w:rsid w:val="00EA1C09"/>
    <w:rsid w:val="00F84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BC0ED1C"/>
  <w15:chartTrackingRefBased/>
  <w15:docId w15:val="{8A2A3924-FF63-4292-AEB2-8B040F330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BB6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DC3BB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22B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2BE8"/>
  </w:style>
  <w:style w:type="paragraph" w:styleId="Footer">
    <w:name w:val="footer"/>
    <w:basedOn w:val="Normal"/>
    <w:link w:val="FooterChar"/>
    <w:uiPriority w:val="99"/>
    <w:unhideWhenUsed/>
    <w:rsid w:val="00322B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2B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AIXTRON SE</Company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Acaru, Silviu</dc:creator>
  <cp:keywords/>
  <dc:description/>
  <cp:lastModifiedBy>Acaru, Silviu</cp:lastModifiedBy>
  <cp:revision>2</cp:revision>
  <dcterms:created xsi:type="dcterms:W3CDTF">2026-02-24T22:33:00Z</dcterms:created>
  <dcterms:modified xsi:type="dcterms:W3CDTF">2026-03-10T13:01:00Z</dcterms:modified>
</cp:coreProperties>
</file>