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A7C5" w14:textId="45C74DDD" w:rsidR="00357DEA" w:rsidRPr="008E6353" w:rsidRDefault="00357DEA" w:rsidP="00357DEA">
      <w:pPr>
        <w:spacing w:line="276" w:lineRule="auto"/>
        <w:jc w:val="both"/>
        <w:rPr>
          <w:b/>
          <w:bCs/>
        </w:rPr>
      </w:pPr>
      <w:r w:rsidRPr="008E6353">
        <w:rPr>
          <w:b/>
          <w:bCs/>
        </w:rPr>
        <w:t>Response to Reviewers</w:t>
      </w:r>
    </w:p>
    <w:p w14:paraId="1D0812BA" w14:textId="77777777" w:rsidR="00357DEA" w:rsidRDefault="00357DEA" w:rsidP="00357DEA">
      <w:pPr>
        <w:spacing w:line="276" w:lineRule="auto"/>
        <w:jc w:val="both"/>
      </w:pPr>
    </w:p>
    <w:p w14:paraId="376AA7F8" w14:textId="0A02F420" w:rsidR="00357DEA" w:rsidRDefault="00357DEA" w:rsidP="00357DEA">
      <w:pPr>
        <w:spacing w:line="276" w:lineRule="auto"/>
        <w:jc w:val="both"/>
      </w:pPr>
      <w:r>
        <w:t>We sincerely thank both reviewers for their thorough and constructive evaluation of our manuscript. Their comments have been invaluable in strengthening the clarity and rigour of our work. Below, we address each point in detail.</w:t>
      </w:r>
    </w:p>
    <w:p w14:paraId="11BAA8A4" w14:textId="2E5C2520" w:rsidR="00357DEA" w:rsidRPr="001D7158" w:rsidRDefault="00357DEA" w:rsidP="00357DEA">
      <w:pPr>
        <w:spacing w:line="276" w:lineRule="auto"/>
        <w:jc w:val="both"/>
        <w:rPr>
          <w:b/>
          <w:bCs/>
          <w:sz w:val="28"/>
          <w:szCs w:val="28"/>
        </w:rPr>
      </w:pPr>
      <w:r w:rsidRPr="001D7158">
        <w:rPr>
          <w:b/>
          <w:bCs/>
          <w:sz w:val="28"/>
          <w:szCs w:val="28"/>
        </w:rPr>
        <w:t>Reviewer #2</w:t>
      </w:r>
    </w:p>
    <w:p w14:paraId="3DD1FC24" w14:textId="77777777" w:rsidR="005A500C" w:rsidRPr="001D7158" w:rsidRDefault="00357DEA" w:rsidP="00357DEA">
      <w:pPr>
        <w:spacing w:line="276" w:lineRule="auto"/>
        <w:jc w:val="both"/>
        <w:rPr>
          <w:b/>
          <w:bCs/>
        </w:rPr>
      </w:pPr>
      <w:r w:rsidRPr="001D7158">
        <w:rPr>
          <w:b/>
          <w:bCs/>
        </w:rPr>
        <w:t xml:space="preserve">Comment 1 </w:t>
      </w:r>
    </w:p>
    <w:p w14:paraId="46B89DD3" w14:textId="18D1A5CA" w:rsidR="00357DEA" w:rsidRDefault="00357DEA" w:rsidP="00357DEA">
      <w:pPr>
        <w:spacing w:line="276" w:lineRule="auto"/>
        <w:jc w:val="both"/>
      </w:pPr>
      <w:r>
        <w:t xml:space="preserve">"The described stacking procedure appears to generate meta-features from base-model predictions on the full dataset, then trains the meta-model on those predictions. This possible leak training information into the meta-model and produce overly optimistic validation metrics. Re-implement stacking using out-of-fold (OOF) predictions to build meta-features (e.g., </w:t>
      </w:r>
      <w:proofErr w:type="spellStart"/>
      <w:r>
        <w:t>StackingRegressor</w:t>
      </w:r>
      <w:proofErr w:type="spellEnd"/>
      <w:r>
        <w:t xml:space="preserve"> with internal CV or </w:t>
      </w:r>
      <w:proofErr w:type="spellStart"/>
      <w:r>
        <w:t>cross_val_predict</w:t>
      </w:r>
      <w:proofErr w:type="spellEnd"/>
      <w:proofErr w:type="gramStart"/>
      <w:r>
        <w:t>), and</w:t>
      </w:r>
      <w:proofErr w:type="gramEnd"/>
      <w:r>
        <w:t xml:space="preserve"> evaluate with nested CV or a strict held-out test set. Please clearly state whether each reported scatter/correlation plot is based on OOF/test predictions rather than in-sample fitted values."*</w:t>
      </w:r>
    </w:p>
    <w:p w14:paraId="088C409D" w14:textId="36AB8A92" w:rsidR="00357DEA" w:rsidRPr="00357DEA" w:rsidRDefault="00357DEA" w:rsidP="00357DEA">
      <w:pPr>
        <w:spacing w:line="276" w:lineRule="auto"/>
        <w:jc w:val="both"/>
        <w:rPr>
          <w:b/>
          <w:bCs/>
          <w:color w:val="153D63" w:themeColor="text2" w:themeTint="E6"/>
        </w:rPr>
      </w:pPr>
      <w:r w:rsidRPr="00357DEA">
        <w:rPr>
          <w:b/>
          <w:bCs/>
          <w:color w:val="153D63" w:themeColor="text2" w:themeTint="E6"/>
        </w:rPr>
        <w:t>Response:</w:t>
      </w:r>
    </w:p>
    <w:p w14:paraId="5BA809B7" w14:textId="77777777" w:rsidR="00357DEA" w:rsidRPr="00357DEA" w:rsidRDefault="00357DEA" w:rsidP="00357DEA">
      <w:pPr>
        <w:spacing w:line="276" w:lineRule="auto"/>
        <w:jc w:val="both"/>
        <w:rPr>
          <w:color w:val="153D63" w:themeColor="text2" w:themeTint="E6"/>
        </w:rPr>
      </w:pPr>
      <w:r w:rsidRPr="00357DEA">
        <w:rPr>
          <w:color w:val="153D63" w:themeColor="text2" w:themeTint="E6"/>
        </w:rPr>
        <w:t xml:space="preserve">We thank the reviewer for this important observation. The concern regarding data leakage in the stacking procedure was valid for the original manuscript, where meta-features were generated from base-model predictions on the full dataset using </w:t>
      </w:r>
      <w:proofErr w:type="spellStart"/>
      <w:r w:rsidRPr="00357DEA">
        <w:rPr>
          <w:color w:val="153D63" w:themeColor="text2" w:themeTint="E6"/>
        </w:rPr>
        <w:t>RepeatedKFold</w:t>
      </w:r>
      <w:proofErr w:type="spellEnd"/>
      <w:r w:rsidRPr="00357DEA">
        <w:rPr>
          <w:color w:val="153D63" w:themeColor="text2" w:themeTint="E6"/>
        </w:rPr>
        <w:t xml:space="preserve"> cross-validation (5 folds, 2 repeats), and the meta-model was subsequently trained and evaluated on these full-dataset meta-features. We acknowledge that this implementation risked information leakage, which contributed to the overly optimistic metrics reported in the original version (MAE = 6.66 °C, R² = 0.99).</w:t>
      </w:r>
    </w:p>
    <w:p w14:paraId="3050B359" w14:textId="4DFE7F13" w:rsidR="00357DEA" w:rsidRPr="00357DEA" w:rsidRDefault="00357DEA" w:rsidP="00357DEA">
      <w:pPr>
        <w:spacing w:line="276" w:lineRule="auto"/>
        <w:jc w:val="both"/>
        <w:rPr>
          <w:color w:val="153D63" w:themeColor="text2" w:themeTint="E6"/>
        </w:rPr>
      </w:pPr>
      <w:r w:rsidRPr="00357DEA">
        <w:rPr>
          <w:color w:val="153D63" w:themeColor="text2" w:themeTint="E6"/>
        </w:rPr>
        <w:t>In the revised manuscript, we have completely re-implemented the stacking procedure using a stratified fixed-split strategy (Section 2.2.4). The dataset is now divided into three strictly separated partitions: a training set (~104 samples), a validation set (16 samples), and a test set (16 samples). The stratified splitting ensures representative T</w:t>
      </w:r>
      <w:r w:rsidRPr="00357DEA">
        <w:rPr>
          <w:color w:val="153D63" w:themeColor="text2" w:themeTint="E6"/>
          <w:vertAlign w:val="subscript"/>
        </w:rPr>
        <w:t>g</w:t>
      </w:r>
      <w:r w:rsidRPr="00357DEA">
        <w:rPr>
          <w:color w:val="153D63" w:themeColor="text2" w:themeTint="E6"/>
        </w:rPr>
        <w:t xml:space="preserve"> distribution across all partitions through systematic sampling (verified via distributional statistics in Supporting Information, Figure S4). Crucially, the base models are now trained exclusively on the training set. Hyperparameters are selected using </w:t>
      </w:r>
      <w:proofErr w:type="spellStart"/>
      <w:r w:rsidRPr="00357DEA">
        <w:rPr>
          <w:color w:val="153D63" w:themeColor="text2" w:themeTint="E6"/>
        </w:rPr>
        <w:t>GridSearchCV</w:t>
      </w:r>
      <w:proofErr w:type="spellEnd"/>
      <w:r w:rsidRPr="00357DEA">
        <w:rPr>
          <w:color w:val="153D63" w:themeColor="text2" w:themeTint="E6"/>
        </w:rPr>
        <w:t xml:space="preserve"> with a custom cross-validation split in which the training samples constitute the training fold and the validation samples the held-out fold; after identification of optimal hyperparameters, each base model is retrained on the training set alone. The meta-features used to train the Ridge regression meta-model are the predictions of base models on training data only, while validation and test meta-features are generated by applying trained base models to strictly held-out data. </w:t>
      </w:r>
      <w:r>
        <w:rPr>
          <w:color w:val="153D63" w:themeColor="text2" w:themeTint="E6"/>
        </w:rPr>
        <w:t>U</w:t>
      </w:r>
      <w:r w:rsidRPr="00357DEA">
        <w:rPr>
          <w:color w:val="153D63" w:themeColor="text2" w:themeTint="E6"/>
        </w:rPr>
        <w:t xml:space="preserve">nder this rigorous framework, </w:t>
      </w:r>
      <w:r w:rsidRPr="00357DEA">
        <w:rPr>
          <w:color w:val="153D63" w:themeColor="text2" w:themeTint="E6"/>
        </w:rPr>
        <w:lastRenderedPageBreak/>
        <w:t>the model achieves a validation MAE of 13.41 °C and a test MAE of 15.17 °C, which we believe are realistic metrics for this dataset.</w:t>
      </w:r>
    </w:p>
    <w:p w14:paraId="327B2C4D" w14:textId="77777777" w:rsidR="00357DEA" w:rsidRPr="00357DEA" w:rsidRDefault="00357DEA" w:rsidP="00357DEA">
      <w:pPr>
        <w:spacing w:line="276" w:lineRule="auto"/>
        <w:jc w:val="both"/>
        <w:rPr>
          <w:color w:val="153D63" w:themeColor="text2" w:themeTint="E6"/>
        </w:rPr>
      </w:pPr>
      <w:r w:rsidRPr="00357DEA">
        <w:rPr>
          <w:color w:val="153D63" w:themeColor="text2" w:themeTint="E6"/>
        </w:rPr>
        <w:t xml:space="preserve">We also explicitly investigated the out-of-fold (OOF) cross-validation architecture suggested by the reviewer. Both methods were systematically compared across 63 feature combinations at multiple </w:t>
      </w:r>
      <w:proofErr w:type="spellStart"/>
      <w:r w:rsidRPr="00357DEA">
        <w:rPr>
          <w:color w:val="153D63" w:themeColor="text2" w:themeTint="E6"/>
        </w:rPr>
        <w:t>n_</w:t>
      </w:r>
      <w:proofErr w:type="gramStart"/>
      <w:r w:rsidRPr="00357DEA">
        <w:rPr>
          <w:color w:val="153D63" w:themeColor="text2" w:themeTint="E6"/>
        </w:rPr>
        <w:t>estimators</w:t>
      </w:r>
      <w:proofErr w:type="spellEnd"/>
      <w:proofErr w:type="gramEnd"/>
      <w:r w:rsidRPr="00357DEA">
        <w:rPr>
          <w:color w:val="153D63" w:themeColor="text2" w:themeTint="E6"/>
        </w:rPr>
        <w:t xml:space="preserve"> settings (10, 100, 500, etc.), totalling hundreds of experimental configurations per method. </w:t>
      </w:r>
    </w:p>
    <w:p w14:paraId="67B03F5A" w14:textId="3890C3DE" w:rsidR="00357DEA" w:rsidRPr="00357DEA" w:rsidRDefault="00357DEA" w:rsidP="00357DEA">
      <w:pPr>
        <w:spacing w:line="276" w:lineRule="auto"/>
        <w:jc w:val="both"/>
        <w:rPr>
          <w:color w:val="153D63" w:themeColor="text2" w:themeTint="E6"/>
        </w:rPr>
      </w:pPr>
      <w:r w:rsidRPr="00357DEA">
        <w:rPr>
          <w:color w:val="153D63" w:themeColor="text2" w:themeTint="E6"/>
        </w:rPr>
        <w:t>The comparison (illustrated in the Figure S5 in the Supporting information) reveals the following:</w:t>
      </w:r>
    </w:p>
    <w:p w14:paraId="68B687C5" w14:textId="1AB196AD" w:rsidR="00357DEA" w:rsidRPr="00357DEA" w:rsidRDefault="00357DEA" w:rsidP="00357DEA">
      <w:pPr>
        <w:spacing w:line="276" w:lineRule="auto"/>
        <w:jc w:val="both"/>
        <w:rPr>
          <w:color w:val="153D63" w:themeColor="text2" w:themeTint="E6"/>
        </w:rPr>
      </w:pPr>
      <w:r w:rsidRPr="00357DEA">
        <w:rPr>
          <w:color w:val="153D63" w:themeColor="text2" w:themeTint="E6"/>
        </w:rPr>
        <w:t xml:space="preserve">- </w:t>
      </w:r>
      <w:r w:rsidRPr="00357DEA">
        <w:rPr>
          <w:b/>
          <w:bCs/>
          <w:color w:val="153D63" w:themeColor="text2" w:themeTint="E6"/>
        </w:rPr>
        <w:t>Best-model comparison (Plot C):</w:t>
      </w:r>
      <w:r w:rsidRPr="00357DEA">
        <w:rPr>
          <w:color w:val="153D63" w:themeColor="text2" w:themeTint="E6"/>
        </w:rPr>
        <w:t xml:space="preserve"> The best fixed-split configuration (5 features, </w:t>
      </w:r>
      <w:proofErr w:type="spellStart"/>
      <w:r w:rsidRPr="00357DEA">
        <w:rPr>
          <w:color w:val="153D63" w:themeColor="text2" w:themeTint="E6"/>
        </w:rPr>
        <w:t>n_estimators</w:t>
      </w:r>
      <w:proofErr w:type="spellEnd"/>
      <w:r w:rsidRPr="00357DEA">
        <w:rPr>
          <w:color w:val="153D63" w:themeColor="text2" w:themeTint="E6"/>
        </w:rPr>
        <w:t xml:space="preserve"> = 10) achieved a validation MAE of 13.41 °C and R² of 0.49, substantially outperforming the best OOF configuration (7 features, </w:t>
      </w:r>
      <w:proofErr w:type="spellStart"/>
      <w:r w:rsidRPr="00357DEA">
        <w:rPr>
          <w:color w:val="153D63" w:themeColor="text2" w:themeTint="E6"/>
        </w:rPr>
        <w:t>n_estimators</w:t>
      </w:r>
      <w:proofErr w:type="spellEnd"/>
      <w:r w:rsidRPr="00357DEA">
        <w:rPr>
          <w:color w:val="153D63" w:themeColor="text2" w:themeTint="E6"/>
        </w:rPr>
        <w:t xml:space="preserve"> = 50), which achieved a validation MAE of 15.42 °C and R² of 0.38. This represents a 2.01 °C improvement in MAE and a 0.11 improvement in R².</w:t>
      </w:r>
    </w:p>
    <w:p w14:paraId="3D838BD3" w14:textId="132E1B0A" w:rsidR="00357DEA" w:rsidRPr="00357DEA" w:rsidRDefault="00357DEA" w:rsidP="00357DEA">
      <w:pPr>
        <w:spacing w:line="276" w:lineRule="auto"/>
        <w:jc w:val="both"/>
        <w:rPr>
          <w:color w:val="153D63" w:themeColor="text2" w:themeTint="E6"/>
        </w:rPr>
      </w:pPr>
      <w:r w:rsidRPr="00357DEA">
        <w:rPr>
          <w:color w:val="153D63" w:themeColor="text2" w:themeTint="E6"/>
        </w:rPr>
        <w:t xml:space="preserve">- </w:t>
      </w:r>
      <w:r w:rsidRPr="00357DEA">
        <w:rPr>
          <w:b/>
          <w:bCs/>
          <w:color w:val="153D63" w:themeColor="text2" w:themeTint="E6"/>
        </w:rPr>
        <w:t>Average performance across all feature combinations (Plots A and B)</w:t>
      </w:r>
      <w:r w:rsidRPr="00357DEA">
        <w:rPr>
          <w:color w:val="153D63" w:themeColor="text2" w:themeTint="E6"/>
        </w:rPr>
        <w:t xml:space="preserve">: When averaging validation MAE across all 63 feature combinations at each </w:t>
      </w:r>
      <w:proofErr w:type="spellStart"/>
      <w:r w:rsidRPr="00357DEA">
        <w:rPr>
          <w:color w:val="153D63" w:themeColor="text2" w:themeTint="E6"/>
        </w:rPr>
        <w:t>n_estimators</w:t>
      </w:r>
      <w:proofErr w:type="spellEnd"/>
      <w:r w:rsidRPr="00357DEA">
        <w:rPr>
          <w:color w:val="153D63" w:themeColor="text2" w:themeTint="E6"/>
        </w:rPr>
        <w:t xml:space="preserve"> value, the OOF method shows lower average MAE (e.g., 16.72 °C at </w:t>
      </w:r>
      <w:proofErr w:type="spellStart"/>
      <w:r w:rsidRPr="00357DEA">
        <w:rPr>
          <w:color w:val="153D63" w:themeColor="text2" w:themeTint="E6"/>
        </w:rPr>
        <w:t>n_estimators</w:t>
      </w:r>
      <w:proofErr w:type="spellEnd"/>
      <w:r w:rsidRPr="00357DEA">
        <w:rPr>
          <w:color w:val="153D63" w:themeColor="text2" w:themeTint="E6"/>
        </w:rPr>
        <w:t xml:space="preserve"> = 10) compared to fixed split (18.95 °C at </w:t>
      </w:r>
      <w:proofErr w:type="spellStart"/>
      <w:r w:rsidRPr="00357DEA">
        <w:rPr>
          <w:color w:val="153D63" w:themeColor="text2" w:themeTint="E6"/>
        </w:rPr>
        <w:t>n_estimators</w:t>
      </w:r>
      <w:proofErr w:type="spellEnd"/>
      <w:r w:rsidRPr="00357DEA">
        <w:rPr>
          <w:color w:val="153D63" w:themeColor="text2" w:themeTint="E6"/>
        </w:rPr>
        <w:t xml:space="preserve"> = 10). However, this reflects the higher variance of the fixed-split method across feature combinations: poor feature subsets produce larger errors under fixed split, while the OOF method's fold-averaging produces more compressed (but uniformly mediocre) predictions.</w:t>
      </w:r>
    </w:p>
    <w:p w14:paraId="7A97EFC5" w14:textId="191AF738" w:rsidR="00357DEA" w:rsidRPr="00357DEA" w:rsidRDefault="00357DEA" w:rsidP="00357DEA">
      <w:pPr>
        <w:spacing w:line="276" w:lineRule="auto"/>
        <w:jc w:val="both"/>
        <w:rPr>
          <w:color w:val="153D63" w:themeColor="text2" w:themeTint="E6"/>
        </w:rPr>
      </w:pPr>
      <w:r w:rsidRPr="00357DEA">
        <w:rPr>
          <w:color w:val="153D63" w:themeColor="text2" w:themeTint="E6"/>
        </w:rPr>
        <w:t xml:space="preserve">- </w:t>
      </w:r>
      <w:r w:rsidRPr="00357DEA">
        <w:rPr>
          <w:b/>
          <w:bCs/>
          <w:color w:val="153D63" w:themeColor="text2" w:themeTint="E6"/>
        </w:rPr>
        <w:t>Performance distribution (Plot D)</w:t>
      </w:r>
      <w:r w:rsidRPr="00357DEA">
        <w:rPr>
          <w:color w:val="153D63" w:themeColor="text2" w:themeTint="E6"/>
        </w:rPr>
        <w:t>: The distribution of individual validation MAE values confirms that the fixed-split method produces a wider spread, with a lower floor (best-case MAE) but also a higher ceiling (worst-case MAE). Crucially, the tail of strong-performing models is exclusively populated by fixed-split configurations.</w:t>
      </w:r>
    </w:p>
    <w:p w14:paraId="078B4A25" w14:textId="77777777" w:rsidR="00357DEA" w:rsidRPr="00357DEA" w:rsidRDefault="00357DEA" w:rsidP="00357DEA">
      <w:pPr>
        <w:spacing w:line="276" w:lineRule="auto"/>
        <w:jc w:val="both"/>
        <w:rPr>
          <w:color w:val="153D63" w:themeColor="text2" w:themeTint="E6"/>
        </w:rPr>
      </w:pPr>
      <w:r w:rsidRPr="00357DEA">
        <w:rPr>
          <w:color w:val="153D63" w:themeColor="text2" w:themeTint="E6"/>
        </w:rPr>
        <w:t>This pattern is consistent with the theoretical expectation for small-data regimes (136 samples): the OOF method, by splitting data into folds, reduces the effective training set per iteration and generates meta-features from models trained on different, smaller subsets—inflating variance in the meta-learner's training signal and producing uniformly moderate predictions. The fixed-split approach, by contrast, trains all base models on the same, maximally large training partition, producing more consistent meta-features. When paired with systematic feature selection (the wrapper method, Section 2.2.3), this consistency translates into a substantially better optimum. We therefore selected the stratified fixed-split strategy as the more suitable framework for our small-dataset context, while maintaining rigorous data separation throughout.</w:t>
      </w:r>
    </w:p>
    <w:p w14:paraId="05A81C0D" w14:textId="77777777" w:rsidR="00357DEA" w:rsidRDefault="00357DEA" w:rsidP="00357DEA">
      <w:pPr>
        <w:spacing w:line="276" w:lineRule="auto"/>
        <w:jc w:val="both"/>
      </w:pPr>
    </w:p>
    <w:p w14:paraId="266B0D6A" w14:textId="77777777" w:rsidR="005A500C" w:rsidRPr="001D7158" w:rsidRDefault="00357DEA" w:rsidP="00357DEA">
      <w:pPr>
        <w:spacing w:line="276" w:lineRule="auto"/>
        <w:jc w:val="both"/>
        <w:rPr>
          <w:b/>
          <w:bCs/>
        </w:rPr>
      </w:pPr>
      <w:r w:rsidRPr="001D7158">
        <w:rPr>
          <w:b/>
          <w:bCs/>
        </w:rPr>
        <w:t xml:space="preserve">Comment 2 </w:t>
      </w:r>
    </w:p>
    <w:p w14:paraId="1B7E1B03" w14:textId="1ABB81B0" w:rsidR="00357DEA" w:rsidRDefault="00357DEA" w:rsidP="00357DEA">
      <w:pPr>
        <w:spacing w:line="276" w:lineRule="auto"/>
        <w:jc w:val="both"/>
      </w:pPr>
      <w:r>
        <w:lastRenderedPageBreak/>
        <w:t>"Including swelling ratio as an input feature can greatly improve prediction but changes the task from 'predict T</w:t>
      </w:r>
      <w:r w:rsidRPr="005A500C">
        <w:rPr>
          <w:vertAlign w:val="subscript"/>
        </w:rPr>
        <w:t>g</w:t>
      </w:r>
      <w:r>
        <w:t xml:space="preserve"> from recipe/controllable variables' to 'predict T</w:t>
      </w:r>
      <w:r w:rsidRPr="005A500C">
        <w:rPr>
          <w:vertAlign w:val="subscript"/>
        </w:rPr>
        <w:t>g</w:t>
      </w:r>
      <w:r>
        <w:t xml:space="preserve"> using a post-synthesis characterization measurement.' This weakens the manuscript's formulation-design narrative."</w:t>
      </w:r>
    </w:p>
    <w:p w14:paraId="3AF205A5" w14:textId="69FB49E9" w:rsidR="00357DEA" w:rsidRPr="00357DEA" w:rsidRDefault="00357DEA" w:rsidP="00357DEA">
      <w:pPr>
        <w:spacing w:line="276" w:lineRule="auto"/>
        <w:jc w:val="both"/>
        <w:rPr>
          <w:b/>
          <w:bCs/>
          <w:color w:val="153D63" w:themeColor="text2" w:themeTint="E6"/>
        </w:rPr>
      </w:pPr>
      <w:r w:rsidRPr="00357DEA">
        <w:rPr>
          <w:b/>
          <w:bCs/>
          <w:color w:val="153D63" w:themeColor="text2" w:themeTint="E6"/>
        </w:rPr>
        <w:t>Response:</w:t>
      </w:r>
    </w:p>
    <w:p w14:paraId="3C687DAF" w14:textId="77777777" w:rsidR="00357DEA" w:rsidRPr="00FC27FB" w:rsidRDefault="00357DEA" w:rsidP="00357DEA">
      <w:pPr>
        <w:spacing w:line="276" w:lineRule="auto"/>
        <w:jc w:val="both"/>
        <w:rPr>
          <w:color w:val="153D63" w:themeColor="text2" w:themeTint="E6"/>
        </w:rPr>
      </w:pPr>
      <w:r w:rsidRPr="00FC27FB">
        <w:rPr>
          <w:color w:val="153D63" w:themeColor="text2" w:themeTint="E6"/>
        </w:rPr>
        <w:t>We fully agree with the reviewer's observation. In the original manuscript, the swelling ratio was indeed included as an input feature in the final model, which, as the reviewer correctly notes, shifted the prediction task from a formulation-design tool to one requiring post-synthesis characterisation data.</w:t>
      </w:r>
    </w:p>
    <w:p w14:paraId="174EE465" w14:textId="77777777" w:rsidR="00357DEA" w:rsidRPr="00FC27FB" w:rsidRDefault="00357DEA" w:rsidP="00357DEA">
      <w:pPr>
        <w:spacing w:line="276" w:lineRule="auto"/>
        <w:jc w:val="both"/>
        <w:rPr>
          <w:color w:val="153D63" w:themeColor="text2" w:themeTint="E6"/>
        </w:rPr>
      </w:pPr>
      <w:r w:rsidRPr="00FC27FB">
        <w:rPr>
          <w:color w:val="153D63" w:themeColor="text2" w:themeTint="E6"/>
        </w:rPr>
        <w:t>In the revised manuscript, we have addressed this by excluding the swelling ratio from the final predictive model. The model now uses exclusively five controllable formulation parameters: Lignin (</w:t>
      </w:r>
      <w:proofErr w:type="spellStart"/>
      <w:r w:rsidRPr="00FC27FB">
        <w:rPr>
          <w:color w:val="153D63" w:themeColor="text2" w:themeTint="E6"/>
        </w:rPr>
        <w:t>wt</w:t>
      </w:r>
      <w:proofErr w:type="spellEnd"/>
      <w:r w:rsidRPr="00FC27FB">
        <w:rPr>
          <w:color w:val="153D63" w:themeColor="text2" w:themeTint="E6"/>
        </w:rPr>
        <w:t xml:space="preserve">%), Co-polyol type (PTHF), Ratio, </w:t>
      </w:r>
      <w:proofErr w:type="spellStart"/>
      <w:r w:rsidRPr="00FC27FB">
        <w:rPr>
          <w:color w:val="153D63" w:themeColor="text2" w:themeTint="E6"/>
        </w:rPr>
        <w:t>Copolyol</w:t>
      </w:r>
      <w:proofErr w:type="spellEnd"/>
      <w:r w:rsidRPr="00FC27FB">
        <w:rPr>
          <w:color w:val="153D63" w:themeColor="text2" w:themeTint="E6"/>
        </w:rPr>
        <w:t xml:space="preserve"> (</w:t>
      </w:r>
      <w:proofErr w:type="spellStart"/>
      <w:r w:rsidRPr="00FC27FB">
        <w:rPr>
          <w:color w:val="153D63" w:themeColor="text2" w:themeTint="E6"/>
        </w:rPr>
        <w:t>wt</w:t>
      </w:r>
      <w:proofErr w:type="spellEnd"/>
      <w:r w:rsidRPr="00FC27FB">
        <w:rPr>
          <w:color w:val="153D63" w:themeColor="text2" w:themeTint="E6"/>
        </w:rPr>
        <w:t>%), and Isocyanate (</w:t>
      </w:r>
      <w:proofErr w:type="spellStart"/>
      <w:r w:rsidRPr="00FC27FB">
        <w:rPr>
          <w:color w:val="153D63" w:themeColor="text2" w:themeTint="E6"/>
        </w:rPr>
        <w:t>wt</w:t>
      </w:r>
      <w:proofErr w:type="spellEnd"/>
      <w:r w:rsidRPr="00FC27FB">
        <w:rPr>
          <w:color w:val="153D63" w:themeColor="text2" w:themeTint="E6"/>
        </w:rPr>
        <w:t>%)—all of which a chemist can specify prior to synthesis. The swelling ratio was explored during the feature selection phase (Section 2.2.3) as part of the wrapper method that systematically evaluated all possible feature subsets. Its inclusion did reduce MAE in early-stage evaluations, which we report transparently in the Supporting Information (Section 3.2) for completeness. However, recognising the practical limitation the reviewer describes, we deliberately excluded it from the final model to preserve the formulation-design utility of the workflow—i.e., the ability to predict T</w:t>
      </w:r>
      <w:r w:rsidRPr="00FC27FB">
        <w:rPr>
          <w:color w:val="153D63" w:themeColor="text2" w:themeTint="E6"/>
          <w:vertAlign w:val="subscript"/>
        </w:rPr>
        <w:t>g</w:t>
      </w:r>
      <w:r w:rsidRPr="00FC27FB">
        <w:rPr>
          <w:color w:val="153D63" w:themeColor="text2" w:themeTint="E6"/>
        </w:rPr>
        <w:t xml:space="preserve"> from controllable synthesis parameters alone, enabling pre-synthesis screening of candidate formulations. As stated in the revised Conclusion (Section 4): "The swelling ratio emerged as a critical characterisation parameter, exhibiting the highest contribution in terms of maximum absolute loading in PCA. Nevertheless, as a post-synthesis characterisation measurement rather than a controllable formulation variable, swelling ratio was ultimately not included in the final predictive model."</w:t>
      </w:r>
    </w:p>
    <w:p w14:paraId="489CACB7" w14:textId="77777777" w:rsidR="00357DEA" w:rsidRDefault="00357DEA" w:rsidP="00357DEA">
      <w:pPr>
        <w:spacing w:line="276" w:lineRule="auto"/>
        <w:jc w:val="both"/>
      </w:pPr>
    </w:p>
    <w:p w14:paraId="74E6F7EA" w14:textId="04C70F56" w:rsidR="00357DEA" w:rsidRPr="001D7158" w:rsidRDefault="00357DEA" w:rsidP="00357DEA">
      <w:pPr>
        <w:spacing w:line="276" w:lineRule="auto"/>
        <w:jc w:val="both"/>
        <w:rPr>
          <w:b/>
          <w:bCs/>
        </w:rPr>
      </w:pPr>
      <w:r w:rsidRPr="001D7158">
        <w:rPr>
          <w:b/>
          <w:bCs/>
        </w:rPr>
        <w:t xml:space="preserve">Comment 3 </w:t>
      </w:r>
    </w:p>
    <w:p w14:paraId="5BC1CD55" w14:textId="12087853" w:rsidR="00357DEA" w:rsidRDefault="00357DEA" w:rsidP="00357DEA">
      <w:pPr>
        <w:spacing w:line="276" w:lineRule="auto"/>
        <w:jc w:val="both"/>
      </w:pPr>
      <w:r>
        <w:t xml:space="preserve">"Several inputs appear to be deterministically linked (e.g., ratio vs mmol NCO vs </w:t>
      </w:r>
      <w:proofErr w:type="spellStart"/>
      <w:r>
        <w:t>wt</w:t>
      </w:r>
      <w:proofErr w:type="spellEnd"/>
      <w:r>
        <w:t>% NCO; complementary composition variables), which can destabilize coefficients/feature importance and create redundant search dimensions in formulation mapping."</w:t>
      </w:r>
    </w:p>
    <w:p w14:paraId="5531B55F" w14:textId="24BC4EFB" w:rsidR="00357DEA" w:rsidRPr="005A500C" w:rsidRDefault="00357DEA" w:rsidP="00357DEA">
      <w:pPr>
        <w:spacing w:line="276" w:lineRule="auto"/>
        <w:jc w:val="both"/>
        <w:rPr>
          <w:b/>
          <w:bCs/>
          <w:color w:val="153D63" w:themeColor="text2" w:themeTint="E6"/>
        </w:rPr>
      </w:pPr>
      <w:r w:rsidRPr="005A500C">
        <w:rPr>
          <w:b/>
          <w:bCs/>
          <w:color w:val="153D63" w:themeColor="text2" w:themeTint="E6"/>
        </w:rPr>
        <w:t>Response:</w:t>
      </w:r>
    </w:p>
    <w:p w14:paraId="1E7AFFBA" w14:textId="251DE97F" w:rsidR="00357DEA" w:rsidRPr="005A500C" w:rsidRDefault="00357DEA" w:rsidP="00357DEA">
      <w:pPr>
        <w:spacing w:line="276" w:lineRule="auto"/>
        <w:jc w:val="both"/>
        <w:rPr>
          <w:color w:val="153D63" w:themeColor="text2" w:themeTint="E6"/>
        </w:rPr>
      </w:pPr>
      <w:r w:rsidRPr="005A500C">
        <w:rPr>
          <w:color w:val="153D63" w:themeColor="text2" w:themeTint="E6"/>
        </w:rPr>
        <w:t>The reviewer raises a valid point. Indeed, several compositional features in polyurethane formulations are inherently correlated or constrained</w:t>
      </w:r>
      <w:r w:rsidR="005A500C" w:rsidRPr="005A500C">
        <w:rPr>
          <w:color w:val="153D63" w:themeColor="text2" w:themeTint="E6"/>
        </w:rPr>
        <w:t>. F</w:t>
      </w:r>
      <w:r w:rsidRPr="005A500C">
        <w:rPr>
          <w:color w:val="153D63" w:themeColor="text2" w:themeTint="E6"/>
        </w:rPr>
        <w:t>or example, the weight percentages of lignin, co-polyol, and isocyanate are linked through the mixture constraint (they approximately sum to 100%), and the Ratio [NCO]/[OH] is derived from the isocyanate and polyol quantities. This multicollinearity is a fundamental property of all mixture experiments and is not a modelling artefact.</w:t>
      </w:r>
    </w:p>
    <w:p w14:paraId="7EBDA1A5" w14:textId="77777777" w:rsidR="00357DEA" w:rsidRPr="005A500C" w:rsidRDefault="00357DEA" w:rsidP="00357DEA">
      <w:pPr>
        <w:spacing w:line="276" w:lineRule="auto"/>
        <w:jc w:val="both"/>
        <w:rPr>
          <w:color w:val="153D63" w:themeColor="text2" w:themeTint="E6"/>
        </w:rPr>
      </w:pPr>
      <w:r w:rsidRPr="005A500C">
        <w:rPr>
          <w:color w:val="153D63" w:themeColor="text2" w:themeTint="E6"/>
        </w:rPr>
        <w:lastRenderedPageBreak/>
        <w:t>In the revised manuscript, we have addressed this concern through a systematic feature selection process (Section 2.2.3), which employed both PCA and a wrapper method to identify the optimal feature subset. The wrapper method evaluated all possible combinations of mandatory and optional features, each in conjunction with the full ensemble training pipeline. This exhaustive search inherently accounts for redundancy: if two features carry essentially the same information, the wrapper method identifies the subset that yields the best predictive performance without unnecessary duplication. The revised final model uses only five features (Lignin (</w:t>
      </w:r>
      <w:proofErr w:type="spellStart"/>
      <w:r w:rsidRPr="005A500C">
        <w:rPr>
          <w:color w:val="153D63" w:themeColor="text2" w:themeTint="E6"/>
        </w:rPr>
        <w:t>wt</w:t>
      </w:r>
      <w:proofErr w:type="spellEnd"/>
      <w:r w:rsidRPr="005A500C">
        <w:rPr>
          <w:color w:val="153D63" w:themeColor="text2" w:themeTint="E6"/>
        </w:rPr>
        <w:t xml:space="preserve">%), Co-polyol type (PTHF), Ratio, </w:t>
      </w:r>
      <w:proofErr w:type="spellStart"/>
      <w:r w:rsidRPr="005A500C">
        <w:rPr>
          <w:color w:val="153D63" w:themeColor="text2" w:themeTint="E6"/>
        </w:rPr>
        <w:t>Copolyol</w:t>
      </w:r>
      <w:proofErr w:type="spellEnd"/>
      <w:r w:rsidRPr="005A500C">
        <w:rPr>
          <w:color w:val="153D63" w:themeColor="text2" w:themeTint="E6"/>
        </w:rPr>
        <w:t xml:space="preserve"> (</w:t>
      </w:r>
      <w:proofErr w:type="spellStart"/>
      <w:r w:rsidRPr="005A500C">
        <w:rPr>
          <w:color w:val="153D63" w:themeColor="text2" w:themeTint="E6"/>
        </w:rPr>
        <w:t>wt</w:t>
      </w:r>
      <w:proofErr w:type="spellEnd"/>
      <w:r w:rsidRPr="005A500C">
        <w:rPr>
          <w:color w:val="153D63" w:themeColor="text2" w:themeTint="E6"/>
        </w:rPr>
        <w:t>%), Isocyanate (</w:t>
      </w:r>
      <w:proofErr w:type="spellStart"/>
      <w:r w:rsidRPr="005A500C">
        <w:rPr>
          <w:color w:val="153D63" w:themeColor="text2" w:themeTint="E6"/>
        </w:rPr>
        <w:t>wt</w:t>
      </w:r>
      <w:proofErr w:type="spellEnd"/>
      <w:r w:rsidRPr="005A500C">
        <w:rPr>
          <w:color w:val="153D63" w:themeColor="text2" w:themeTint="E6"/>
        </w:rPr>
        <w:t xml:space="preserve">%)), which was the combination returning the lowest validation MAE among all subsets tested. Notably, the original manuscript included additional correlated features (e.g., Isocyanate (mmol NCO), </w:t>
      </w:r>
      <w:proofErr w:type="gramStart"/>
      <w:r w:rsidRPr="005A500C">
        <w:rPr>
          <w:color w:val="153D63" w:themeColor="text2" w:themeTint="E6"/>
        </w:rPr>
        <w:t>Tin(</w:t>
      </w:r>
      <w:proofErr w:type="gramEnd"/>
      <w:r w:rsidRPr="005A500C">
        <w:rPr>
          <w:color w:val="153D63" w:themeColor="text2" w:themeTint="E6"/>
        </w:rPr>
        <w:t>II) octoate, and Swelling ratio (%)) in the final model; the revised feature set reduces this redundancy while preserving predictive performance.</w:t>
      </w:r>
    </w:p>
    <w:p w14:paraId="33965304" w14:textId="77777777" w:rsidR="00357DEA" w:rsidRPr="005A500C" w:rsidRDefault="00357DEA" w:rsidP="00357DEA">
      <w:pPr>
        <w:spacing w:line="276" w:lineRule="auto"/>
        <w:jc w:val="both"/>
        <w:rPr>
          <w:color w:val="153D63" w:themeColor="text2" w:themeTint="E6"/>
        </w:rPr>
      </w:pPr>
      <w:r w:rsidRPr="005A500C">
        <w:rPr>
          <w:color w:val="153D63" w:themeColor="text2" w:themeTint="E6"/>
        </w:rPr>
        <w:t xml:space="preserve">Importantly, while multicollinearity can destabilise coefficient estimates in linear models, our ensemble includes both linear and non-linear learners (GBR, RF, SVR, Lasso, </w:t>
      </w:r>
      <w:proofErr w:type="spellStart"/>
      <w:r w:rsidRPr="005A500C">
        <w:rPr>
          <w:color w:val="153D63" w:themeColor="text2" w:themeTint="E6"/>
        </w:rPr>
        <w:t>ElasticNet</w:t>
      </w:r>
      <w:proofErr w:type="spellEnd"/>
      <w:r w:rsidRPr="005A500C">
        <w:rPr>
          <w:color w:val="153D63" w:themeColor="text2" w:themeTint="E6"/>
        </w:rPr>
        <w:t xml:space="preserve">). Tree-based models (GBR, RF) are inherently robust to collinear features, as they select splits based on information gain rather than coefficient estimation. Regularised linear models (Lasso, </w:t>
      </w:r>
      <w:proofErr w:type="spellStart"/>
      <w:r w:rsidRPr="005A500C">
        <w:rPr>
          <w:color w:val="153D63" w:themeColor="text2" w:themeTint="E6"/>
        </w:rPr>
        <w:t>ElasticNet</w:t>
      </w:r>
      <w:proofErr w:type="spellEnd"/>
      <w:r w:rsidRPr="005A500C">
        <w:rPr>
          <w:color w:val="153D63" w:themeColor="text2" w:themeTint="E6"/>
        </w:rPr>
        <w:t>) explicitly handle collinearity through L1/L2 penalties that shrink or zero out redundant coefficients. The stacking meta-model (Ridge regression) further mitigates this by learning optimal weights for combining diverse base-model predictions rather than directly interpreting individual feature coefficients. We have added a brief discussion of these points to the revised manuscript.</w:t>
      </w:r>
    </w:p>
    <w:p w14:paraId="28FB956C" w14:textId="77777777" w:rsidR="00357DEA" w:rsidRDefault="00357DEA" w:rsidP="00357DEA">
      <w:pPr>
        <w:spacing w:line="276" w:lineRule="auto"/>
        <w:jc w:val="both"/>
      </w:pPr>
    </w:p>
    <w:p w14:paraId="56A02953" w14:textId="3BC2CF0A" w:rsidR="00357DEA" w:rsidRPr="001D7158" w:rsidRDefault="00357DEA" w:rsidP="00357DEA">
      <w:pPr>
        <w:spacing w:line="276" w:lineRule="auto"/>
        <w:jc w:val="both"/>
        <w:rPr>
          <w:b/>
          <w:bCs/>
        </w:rPr>
      </w:pPr>
      <w:r w:rsidRPr="001D7158">
        <w:rPr>
          <w:b/>
          <w:bCs/>
        </w:rPr>
        <w:t xml:space="preserve">Comment 4 </w:t>
      </w:r>
    </w:p>
    <w:p w14:paraId="0D1279E3" w14:textId="60B0DDCB" w:rsidR="00357DEA" w:rsidRDefault="00357DEA" w:rsidP="00357DEA">
      <w:pPr>
        <w:spacing w:line="276" w:lineRule="auto"/>
        <w:jc w:val="both"/>
      </w:pPr>
      <w:r>
        <w:t>"Large train-validation gaps for certain models indicate overfitting, raising concerns about generalization. High reported correlations (e.g., Pearson ~0.99) may reflect in-sample fits rather than true predictive power."*</w:t>
      </w:r>
    </w:p>
    <w:p w14:paraId="1B9BE386" w14:textId="116ECADA" w:rsidR="00357DEA" w:rsidRPr="005A500C" w:rsidRDefault="00357DEA" w:rsidP="00357DEA">
      <w:pPr>
        <w:spacing w:line="276" w:lineRule="auto"/>
        <w:jc w:val="both"/>
        <w:rPr>
          <w:b/>
          <w:bCs/>
          <w:color w:val="153D63" w:themeColor="text2" w:themeTint="E6"/>
        </w:rPr>
      </w:pPr>
      <w:r w:rsidRPr="005A500C">
        <w:rPr>
          <w:b/>
          <w:bCs/>
          <w:color w:val="153D63" w:themeColor="text2" w:themeTint="E6"/>
        </w:rPr>
        <w:t>Response:</w:t>
      </w:r>
    </w:p>
    <w:p w14:paraId="74B6128E" w14:textId="77777777" w:rsidR="00357DEA" w:rsidRPr="005A500C" w:rsidRDefault="00357DEA" w:rsidP="00357DEA">
      <w:pPr>
        <w:spacing w:line="276" w:lineRule="auto"/>
        <w:jc w:val="both"/>
        <w:rPr>
          <w:color w:val="153D63" w:themeColor="text2" w:themeTint="E6"/>
        </w:rPr>
      </w:pPr>
      <w:r w:rsidRPr="005A500C">
        <w:rPr>
          <w:color w:val="153D63" w:themeColor="text2" w:themeTint="E6"/>
        </w:rPr>
        <w:t>We appreciate this concern. The reviewer is correct that in the original manuscript, the reported Pearson correlation of 0.99 and MAE of 6.66 °C reflected in-sample performance, where the meta-model was trained and evaluated on full-dataset meta-features. These metrics were indeed overly optimistic and indicative of overfitting, as the reviewer rightly suspects.</w:t>
      </w:r>
    </w:p>
    <w:p w14:paraId="063F488D" w14:textId="180320C5" w:rsidR="00357DEA" w:rsidRPr="005A500C" w:rsidRDefault="00357DEA" w:rsidP="00357DEA">
      <w:pPr>
        <w:spacing w:line="276" w:lineRule="auto"/>
        <w:jc w:val="both"/>
        <w:rPr>
          <w:color w:val="153D63" w:themeColor="text2" w:themeTint="E6"/>
        </w:rPr>
      </w:pPr>
      <w:r w:rsidRPr="005A500C">
        <w:rPr>
          <w:color w:val="153D63" w:themeColor="text2" w:themeTint="E6"/>
        </w:rPr>
        <w:t>In the revised manuscript, we have fundamentally restructured the evaluation. The model is now evaluated using a stratified fixed-split with a strict held-out test set. The Pearson correlation coefficient reported for the combined validation and test predictions (Figure 7) is 0.73</w:t>
      </w:r>
      <w:r w:rsidR="005A500C" w:rsidRPr="005A500C">
        <w:rPr>
          <w:color w:val="153D63" w:themeColor="text2" w:themeTint="E6"/>
        </w:rPr>
        <w:t xml:space="preserve">, </w:t>
      </w:r>
      <w:r w:rsidRPr="005A500C">
        <w:rPr>
          <w:color w:val="153D63" w:themeColor="text2" w:themeTint="E6"/>
        </w:rPr>
        <w:t xml:space="preserve">a substantially more realistic value reflecting genuine held-out performance. The selected model (with 10 base estimators, chosen to minimise </w:t>
      </w:r>
      <w:r w:rsidRPr="005A500C">
        <w:rPr>
          <w:color w:val="153D63" w:themeColor="text2" w:themeTint="E6"/>
        </w:rPr>
        <w:lastRenderedPageBreak/>
        <w:t>validation MAE rather than maximise training fit) achieves a validation MAE of 13.41 °C and a test MAE of 15.17 °C, with a training MAE of 3.92 °C.</w:t>
      </w:r>
    </w:p>
    <w:p w14:paraId="5117EF59" w14:textId="77777777" w:rsidR="00357DEA" w:rsidRPr="005A500C" w:rsidRDefault="00357DEA" w:rsidP="00357DEA">
      <w:pPr>
        <w:spacing w:line="276" w:lineRule="auto"/>
        <w:jc w:val="both"/>
        <w:rPr>
          <w:color w:val="153D63" w:themeColor="text2" w:themeTint="E6"/>
        </w:rPr>
      </w:pPr>
      <w:r w:rsidRPr="005A500C">
        <w:rPr>
          <w:color w:val="153D63" w:themeColor="text2" w:themeTint="E6"/>
        </w:rPr>
        <w:t>Furthermore, overfitting is now extensively discussed in Section 3.3, where we analyse model performance as a function of base estimators, explicitly documenting the widening gap between training and validation metrics at higher estimator counts. We report that "the validation R² slightly decreases from 0.494 to 0.428" while "the train R² values steadily increase from 0.942 to 0.997," and we identify this divergence as evidence of overfitting. The generalisability gap (validation MAE − training MAE = 9.49 °C) is reported transparently in the Conclusion (Section 4), and we acknowledge that this gap "indicates moderate overfitting of the data." We also contextualised our results against the broader literature, noting that "the present validation performance should be interpreted as moderate rather than state-of-the-art." We believe this transparent reporting of both strengths and limitations now provides an honest assessment of the model's predictive capability.</w:t>
      </w:r>
    </w:p>
    <w:p w14:paraId="1E461455" w14:textId="77777777" w:rsidR="00357DEA" w:rsidRDefault="00357DEA" w:rsidP="00357DEA">
      <w:pPr>
        <w:spacing w:line="276" w:lineRule="auto"/>
        <w:jc w:val="both"/>
      </w:pPr>
    </w:p>
    <w:p w14:paraId="29F53F62" w14:textId="050D9946" w:rsidR="00357DEA" w:rsidRPr="001D7158" w:rsidRDefault="00357DEA" w:rsidP="00357DEA">
      <w:pPr>
        <w:spacing w:line="276" w:lineRule="auto"/>
        <w:jc w:val="both"/>
        <w:rPr>
          <w:b/>
          <w:bCs/>
        </w:rPr>
      </w:pPr>
      <w:r w:rsidRPr="001D7158">
        <w:rPr>
          <w:b/>
          <w:bCs/>
        </w:rPr>
        <w:t xml:space="preserve">Comment 5 </w:t>
      </w:r>
    </w:p>
    <w:p w14:paraId="408D69E5" w14:textId="01ACABA2" w:rsidR="00357DEA" w:rsidRDefault="00357DEA" w:rsidP="00357DEA">
      <w:pPr>
        <w:spacing w:line="276" w:lineRule="auto"/>
        <w:jc w:val="both"/>
      </w:pPr>
      <w:r>
        <w:t>"Strengthen the mechanistic discussion with at least one experimentally grounded link supporting why the model's learned relationships are physically meaningful."</w:t>
      </w:r>
    </w:p>
    <w:p w14:paraId="679C4A6C" w14:textId="13D38764" w:rsidR="00357DEA" w:rsidRDefault="00357DEA" w:rsidP="00357DEA">
      <w:pPr>
        <w:spacing w:line="276" w:lineRule="auto"/>
        <w:jc w:val="both"/>
      </w:pPr>
      <w:r w:rsidRPr="005A500C">
        <w:rPr>
          <w:b/>
          <w:bCs/>
        </w:rPr>
        <w:t>Response</w:t>
      </w:r>
      <w:r>
        <w:t>:</w:t>
      </w:r>
    </w:p>
    <w:p w14:paraId="752A292F" w14:textId="77777777" w:rsidR="0003481D" w:rsidRDefault="00EF6E2A" w:rsidP="00EF6E2A">
      <w:pPr>
        <w:spacing w:line="276" w:lineRule="auto"/>
        <w:jc w:val="both"/>
        <w:rPr>
          <w:color w:val="153D63" w:themeColor="text2" w:themeTint="E6"/>
          <w:lang w:val="x-none"/>
        </w:rPr>
      </w:pPr>
      <w:r w:rsidRPr="00EF6E2A">
        <w:rPr>
          <w:color w:val="153D63" w:themeColor="text2" w:themeTint="E6"/>
          <w:lang w:val="x-none"/>
        </w:rPr>
        <w:t xml:space="preserve">We thank the reviewer for this important point. We have now added a dedicated subsection in the </w:t>
      </w:r>
      <w:r w:rsidRPr="00EF6E2A">
        <w:rPr>
          <w:i/>
          <w:iCs/>
          <w:color w:val="153D63" w:themeColor="text2" w:themeTint="E6"/>
          <w:lang w:val="x-none"/>
        </w:rPr>
        <w:t>Results and Discussion</w:t>
      </w:r>
      <w:r w:rsidRPr="00EF6E2A">
        <w:rPr>
          <w:color w:val="153D63" w:themeColor="text2" w:themeTint="E6"/>
          <w:lang w:val="x-none"/>
        </w:rPr>
        <w:t xml:space="preserve"> that explicitly connects the model’s key predictive features (lignin </w:t>
      </w:r>
      <w:proofErr w:type="spellStart"/>
      <w:r w:rsidRPr="00EF6E2A">
        <w:rPr>
          <w:color w:val="153D63" w:themeColor="text2" w:themeTint="E6"/>
          <w:lang w:val="x-none"/>
        </w:rPr>
        <w:t>wt</w:t>
      </w:r>
      <w:proofErr w:type="spellEnd"/>
      <w:r w:rsidRPr="00EF6E2A">
        <w:rPr>
          <w:color w:val="153D63" w:themeColor="text2" w:themeTint="E6"/>
          <w:lang w:val="x-none"/>
        </w:rPr>
        <w:t xml:space="preserve">%, PTHF molecular weight, NCO/OH ratio, isocyanate functionality, swelling ratio) to established polymer physics concepts such as crosslink density, chain mobility, and free volume theory. </w:t>
      </w:r>
    </w:p>
    <w:p w14:paraId="4366C3AA" w14:textId="53EB8CB3" w:rsidR="0003481D" w:rsidRPr="00EF6E2A" w:rsidRDefault="0003481D" w:rsidP="00EF6E2A">
      <w:pPr>
        <w:spacing w:line="276" w:lineRule="auto"/>
        <w:jc w:val="both"/>
        <w:rPr>
          <w:color w:val="153D63" w:themeColor="text2" w:themeTint="E6"/>
          <w:lang w:val="x-none"/>
        </w:rPr>
      </w:pPr>
      <w:r>
        <w:rPr>
          <w:color w:val="153D63" w:themeColor="text2" w:themeTint="E6"/>
          <w:lang w:val="x-none"/>
        </w:rPr>
        <w:t xml:space="preserve">The overall concept is described below, however due to page limitation of the manuscript we have integrated these ideas within the discussion in the Section 3.3 </w:t>
      </w:r>
      <w:r w:rsidRPr="00EF6E2A">
        <w:rPr>
          <w:color w:val="153D63" w:themeColor="text2" w:themeTint="E6"/>
          <w:lang w:val="x-none"/>
        </w:rPr>
        <w:t xml:space="preserve">Mapping for Model </w:t>
      </w:r>
      <w:proofErr w:type="spellStart"/>
      <w:r w:rsidRPr="00EF6E2A">
        <w:rPr>
          <w:color w:val="153D63" w:themeColor="text2" w:themeTint="E6"/>
          <w:lang w:val="x-none"/>
        </w:rPr>
        <w:t>Behavior</w:t>
      </w:r>
      <w:proofErr w:type="spellEnd"/>
    </w:p>
    <w:p w14:paraId="3DE2DE1A" w14:textId="0DFFA716" w:rsidR="00EF6E2A" w:rsidRPr="00EF6E2A" w:rsidRDefault="00EF6E2A" w:rsidP="00EF6E2A">
      <w:pPr>
        <w:spacing w:line="276" w:lineRule="auto"/>
        <w:jc w:val="both"/>
        <w:rPr>
          <w:color w:val="153D63" w:themeColor="text2" w:themeTint="E6"/>
          <w:lang w:val="x-none"/>
        </w:rPr>
      </w:pPr>
      <w:r w:rsidRPr="00EF6E2A">
        <w:rPr>
          <w:color w:val="153D63" w:themeColor="text2" w:themeTint="E6"/>
          <w:lang w:val="x-none"/>
        </w:rPr>
        <w:t>“</w:t>
      </w:r>
      <w:r w:rsidR="003D350E" w:rsidRPr="003D350E">
        <w:t xml:space="preserve"> </w:t>
      </w:r>
      <w:r w:rsidR="0003481D">
        <w:t>T</w:t>
      </w:r>
      <w:r w:rsidR="003D350E" w:rsidRPr="003D350E">
        <w:rPr>
          <w:color w:val="153D63" w:themeColor="text2" w:themeTint="E6"/>
          <w:lang w:val="x-none"/>
        </w:rPr>
        <w:t>he trends discussed in this section as identified through the ensemble model mapping align with well established polymer physics principles. Increasing lignin content, a rigid and highly aromatic macromolecule, reduces chain mobility and increases the effective crosslink density, which is consistent with the observed rise in Tg. Conversely, higher molecular weight PTHF introduces longer, more flexible soft segments, increasing free volume and lowering Tg. The NCO/OH ratio and the isocyanate functi</w:t>
      </w:r>
      <w:r w:rsidR="003D350E" w:rsidRPr="003D350E">
        <w:rPr>
          <w:rFonts w:hint="eastAsia"/>
          <w:color w:val="153D63" w:themeColor="text2" w:themeTint="E6"/>
          <w:lang w:val="x-none"/>
        </w:rPr>
        <w:t xml:space="preserve">onality directly influence the formation of urethane and allophanate crosslinks; higher ratios and the use of HDI trimer (f </w:t>
      </w:r>
      <w:r w:rsidR="003D350E" w:rsidRPr="003D350E">
        <w:rPr>
          <w:rFonts w:hint="eastAsia"/>
          <w:color w:val="153D63" w:themeColor="text2" w:themeTint="E6"/>
          <w:lang w:val="x-none"/>
        </w:rPr>
        <w:t>≈</w:t>
      </w:r>
      <w:r w:rsidR="003D350E" w:rsidRPr="003D350E">
        <w:rPr>
          <w:rFonts w:hint="eastAsia"/>
          <w:color w:val="153D63" w:themeColor="text2" w:themeTint="E6"/>
          <w:lang w:val="x-none"/>
        </w:rPr>
        <w:t xml:space="preserve"> 3.5) increase network connectivity, thereby restricting segmental motion and elevating Tg. The swelling ratio, included as an expe</w:t>
      </w:r>
      <w:r w:rsidR="003D350E" w:rsidRPr="003D350E">
        <w:rPr>
          <w:color w:val="153D63" w:themeColor="text2" w:themeTint="E6"/>
          <w:lang w:val="x-none"/>
        </w:rPr>
        <w:t xml:space="preserve">rimentally derived proxy for network density, showed an inverse correlation with Tg (see Figure 3): highly swollen </w:t>
      </w:r>
      <w:r w:rsidR="003D350E" w:rsidRPr="003D350E">
        <w:rPr>
          <w:color w:val="153D63" w:themeColor="text2" w:themeTint="E6"/>
          <w:lang w:val="x-none"/>
        </w:rPr>
        <w:lastRenderedPageBreak/>
        <w:t>networks correspond to lower crosslink density and thus lower Tg. These mechanistic correlations demonstrate that the model captures physically meaningful structure–property relationships rather than relying on statistical artifacts</w:t>
      </w:r>
      <w:r w:rsidR="003D350E">
        <w:rPr>
          <w:color w:val="153D63" w:themeColor="text2" w:themeTint="E6"/>
          <w:lang w:val="x-none"/>
        </w:rPr>
        <w:t xml:space="preserve">. </w:t>
      </w:r>
      <w:r w:rsidR="003D350E" w:rsidRPr="00EF6E2A">
        <w:rPr>
          <w:color w:val="153D63" w:themeColor="text2" w:themeTint="E6"/>
          <w:lang w:val="x-none"/>
        </w:rPr>
        <w:t>“</w:t>
      </w:r>
    </w:p>
    <w:p w14:paraId="63165234" w14:textId="372D1558" w:rsidR="006A2784" w:rsidRPr="0003481D" w:rsidRDefault="00EF6E2A" w:rsidP="00357DEA">
      <w:pPr>
        <w:spacing w:line="276" w:lineRule="auto"/>
        <w:jc w:val="both"/>
        <w:rPr>
          <w:lang w:val="en-US"/>
        </w:rPr>
      </w:pPr>
      <w:r w:rsidRPr="00EF6E2A">
        <w:rPr>
          <w:lang w:val="en-US"/>
        </w:rPr>
        <w:br/>
      </w:r>
      <w:r w:rsidR="006A2784" w:rsidRPr="001D7158">
        <w:rPr>
          <w:b/>
          <w:bCs/>
          <w:sz w:val="28"/>
          <w:szCs w:val="28"/>
        </w:rPr>
        <w:t>Reviewer #3</w:t>
      </w:r>
    </w:p>
    <w:p w14:paraId="6999324F" w14:textId="15B3D6E5" w:rsidR="00EF6E2A" w:rsidRPr="001D7158" w:rsidRDefault="00EF6E2A" w:rsidP="00357DEA">
      <w:pPr>
        <w:spacing w:line="276" w:lineRule="auto"/>
        <w:jc w:val="both"/>
        <w:rPr>
          <w:b/>
          <w:bCs/>
        </w:rPr>
      </w:pPr>
      <w:r w:rsidRPr="001D7158">
        <w:rPr>
          <w:b/>
          <w:bCs/>
        </w:rPr>
        <w:t>Comment 1</w:t>
      </w:r>
    </w:p>
    <w:p w14:paraId="70629C03" w14:textId="5D3ECD1B" w:rsidR="00EF6E2A" w:rsidRPr="00EF6E2A" w:rsidRDefault="002B34B6" w:rsidP="00357DEA">
      <w:pPr>
        <w:spacing w:line="276" w:lineRule="auto"/>
        <w:jc w:val="both"/>
        <w:rPr>
          <w:lang w:val="en-US"/>
        </w:rPr>
      </w:pPr>
      <w:r>
        <w:t>"</w:t>
      </w:r>
      <w:r w:rsidR="00EF6E2A" w:rsidRPr="00EF6E2A">
        <w:rPr>
          <w:lang w:val="en-US"/>
        </w:rPr>
        <w:t>As a heterogeneous polymer, lignin exhibits significant variations in molecular weight and basic structural units among different sources.  How can we ensure precise prediction of Tg of lignin-PUs?</w:t>
      </w:r>
      <w:r w:rsidRPr="002B34B6">
        <w:t xml:space="preserve"> </w:t>
      </w:r>
      <w:r>
        <w:t>"</w:t>
      </w:r>
    </w:p>
    <w:p w14:paraId="13318D9B" w14:textId="77777777" w:rsidR="00EF6E2A" w:rsidRPr="00EF6E2A" w:rsidRDefault="00EF6E2A" w:rsidP="00EF6E2A">
      <w:pPr>
        <w:spacing w:line="276" w:lineRule="auto"/>
        <w:jc w:val="both"/>
        <w:rPr>
          <w:color w:val="153D63" w:themeColor="text2" w:themeTint="E6"/>
          <w:lang w:val="x-none"/>
        </w:rPr>
      </w:pPr>
      <w:r w:rsidRPr="00EF6E2A">
        <w:rPr>
          <w:color w:val="153D63" w:themeColor="text2" w:themeTint="E6"/>
          <w:lang w:val="x-none"/>
        </w:rPr>
        <w:t>We thank the reviewer for raising this important point. Lignin heterogeneity is indeed a major challenge for predictive modelling. To minimize this variability, we deliberately selected Kraft lignin, the most widely available industrial lignin produced globally as a by</w:t>
      </w:r>
      <w:r w:rsidRPr="00EF6E2A">
        <w:rPr>
          <w:rFonts w:ascii="Cambria Math" w:hAnsi="Cambria Math" w:cs="Cambria Math"/>
          <w:color w:val="153D63" w:themeColor="text2" w:themeTint="E6"/>
          <w:lang w:val="x-none"/>
        </w:rPr>
        <w:t>‑</w:t>
      </w:r>
      <w:r w:rsidRPr="00EF6E2A">
        <w:rPr>
          <w:color w:val="153D63" w:themeColor="text2" w:themeTint="E6"/>
          <w:lang w:val="x-none"/>
        </w:rPr>
        <w:t>product of the paper industry. Furthermore, we applied a simple solvent</w:t>
      </w:r>
      <w:r w:rsidRPr="00EF6E2A">
        <w:rPr>
          <w:rFonts w:ascii="Cambria Math" w:hAnsi="Cambria Math" w:cs="Cambria Math"/>
          <w:color w:val="153D63" w:themeColor="text2" w:themeTint="E6"/>
          <w:lang w:val="x-none"/>
        </w:rPr>
        <w:t>‑</w:t>
      </w:r>
      <w:r w:rsidRPr="00EF6E2A">
        <w:rPr>
          <w:color w:val="153D63" w:themeColor="text2" w:themeTint="E6"/>
          <w:lang w:val="x-none"/>
        </w:rPr>
        <w:t>extraction upgrade step, which is a well</w:t>
      </w:r>
      <w:r w:rsidRPr="00EF6E2A">
        <w:rPr>
          <w:rFonts w:ascii="Cambria Math" w:hAnsi="Cambria Math" w:cs="Cambria Math"/>
          <w:color w:val="153D63" w:themeColor="text2" w:themeTint="E6"/>
          <w:lang w:val="x-none"/>
        </w:rPr>
        <w:t>‑</w:t>
      </w:r>
      <w:r w:rsidRPr="00EF6E2A">
        <w:rPr>
          <w:color w:val="153D63" w:themeColor="text2" w:themeTint="E6"/>
          <w:lang w:val="x-none"/>
        </w:rPr>
        <w:t>established method for isolating the soluble, well</w:t>
      </w:r>
      <w:r w:rsidRPr="00EF6E2A">
        <w:rPr>
          <w:rFonts w:ascii="Cambria Math" w:hAnsi="Cambria Math" w:cs="Cambria Math"/>
          <w:color w:val="153D63" w:themeColor="text2" w:themeTint="E6"/>
          <w:lang w:val="x-none"/>
        </w:rPr>
        <w:t>‑</w:t>
      </w:r>
      <w:r w:rsidRPr="00EF6E2A">
        <w:rPr>
          <w:color w:val="153D63" w:themeColor="text2" w:themeTint="E6"/>
          <w:lang w:val="x-none"/>
        </w:rPr>
        <w:t>defined Kraft lignin fraction (EKL). This procedure significantly improves batch</w:t>
      </w:r>
      <w:r w:rsidRPr="00EF6E2A">
        <w:rPr>
          <w:rFonts w:ascii="Cambria Math" w:hAnsi="Cambria Math" w:cs="Cambria Math"/>
          <w:color w:val="153D63" w:themeColor="text2" w:themeTint="E6"/>
          <w:lang w:val="x-none"/>
        </w:rPr>
        <w:t>‑</w:t>
      </w:r>
      <w:r w:rsidRPr="00EF6E2A">
        <w:rPr>
          <w:color w:val="153D63" w:themeColor="text2" w:themeTint="E6"/>
          <w:lang w:val="x-none"/>
        </w:rPr>
        <w:t>to</w:t>
      </w:r>
      <w:r w:rsidRPr="00EF6E2A">
        <w:rPr>
          <w:rFonts w:ascii="Cambria Math" w:hAnsi="Cambria Math" w:cs="Cambria Math"/>
          <w:color w:val="153D63" w:themeColor="text2" w:themeTint="E6"/>
          <w:lang w:val="x-none"/>
        </w:rPr>
        <w:t>‑</w:t>
      </w:r>
      <w:r w:rsidRPr="00EF6E2A">
        <w:rPr>
          <w:color w:val="153D63" w:themeColor="text2" w:themeTint="E6"/>
          <w:lang w:val="x-none"/>
        </w:rPr>
        <w:t>batch reproducibility by narrowing the molecular weight distribution and homogenizing the hydroxyl</w:t>
      </w:r>
      <w:r w:rsidRPr="00EF6E2A">
        <w:rPr>
          <w:rFonts w:ascii="Cambria Math" w:hAnsi="Cambria Math" w:cs="Cambria Math"/>
          <w:color w:val="153D63" w:themeColor="text2" w:themeTint="E6"/>
          <w:lang w:val="x-none"/>
        </w:rPr>
        <w:t>‑</w:t>
      </w:r>
      <w:r w:rsidRPr="00EF6E2A">
        <w:rPr>
          <w:color w:val="153D63" w:themeColor="text2" w:themeTint="E6"/>
          <w:lang w:val="x-none"/>
        </w:rPr>
        <w:t>group content, two parameters that strongly influence polyurethane network formation.</w:t>
      </w:r>
    </w:p>
    <w:p w14:paraId="6F123ACA" w14:textId="63E80EF3" w:rsidR="00EF6E2A" w:rsidRPr="00B76533" w:rsidRDefault="00EF6E2A" w:rsidP="00EF6E2A">
      <w:pPr>
        <w:spacing w:line="276" w:lineRule="auto"/>
        <w:jc w:val="both"/>
        <w:rPr>
          <w:color w:val="153D63" w:themeColor="text2" w:themeTint="E6"/>
          <w:u w:val="single"/>
          <w:lang w:val="x-none"/>
        </w:rPr>
      </w:pPr>
      <w:r w:rsidRPr="00EF6E2A">
        <w:rPr>
          <w:color w:val="153D63" w:themeColor="text2" w:themeTint="E6"/>
          <w:lang w:val="x-none"/>
        </w:rPr>
        <w:t>By using this lignin source and upgrade technique, we ensure that the observed variation in T</w:t>
      </w:r>
      <w:r w:rsidRPr="00B76533">
        <w:rPr>
          <w:color w:val="153D63" w:themeColor="text2" w:themeTint="E6"/>
          <w:vertAlign w:val="subscript"/>
          <w:lang w:val="x-none"/>
        </w:rPr>
        <w:t>g</w:t>
      </w:r>
      <w:r w:rsidRPr="00EF6E2A">
        <w:rPr>
          <w:color w:val="153D63" w:themeColor="text2" w:themeTint="E6"/>
          <w:lang w:val="x-none"/>
        </w:rPr>
        <w:t xml:space="preserve"> arises from the controlled formulation parameters (lignin </w:t>
      </w:r>
      <w:proofErr w:type="spellStart"/>
      <w:r w:rsidRPr="00EF6E2A">
        <w:rPr>
          <w:color w:val="153D63" w:themeColor="text2" w:themeTint="E6"/>
          <w:lang w:val="x-none"/>
        </w:rPr>
        <w:t>wt</w:t>
      </w:r>
      <w:proofErr w:type="spellEnd"/>
      <w:r w:rsidRPr="00EF6E2A">
        <w:rPr>
          <w:color w:val="153D63" w:themeColor="text2" w:themeTint="E6"/>
          <w:lang w:val="x-none"/>
        </w:rPr>
        <w:t>%, PTHF molecular weight, NCO/OH ratio, isocyanate functionality, etc.) rather than from uncontrolled lignin variability. This controlled chemical space enables precise T</w:t>
      </w:r>
      <w:r w:rsidRPr="00B76533">
        <w:rPr>
          <w:color w:val="153D63" w:themeColor="text2" w:themeTint="E6"/>
          <w:vertAlign w:val="subscript"/>
          <w:lang w:val="x-none"/>
        </w:rPr>
        <w:t xml:space="preserve">g </w:t>
      </w:r>
      <w:r w:rsidRPr="00EF6E2A">
        <w:rPr>
          <w:color w:val="153D63" w:themeColor="text2" w:themeTint="E6"/>
          <w:lang w:val="x-none"/>
        </w:rPr>
        <w:t>prediction within the scope of this study. We now clarify this explicitly in the manuscript</w:t>
      </w:r>
      <w:r w:rsidR="00B76533">
        <w:rPr>
          <w:color w:val="153D63" w:themeColor="text2" w:themeTint="E6"/>
          <w:lang w:val="x-none"/>
        </w:rPr>
        <w:t xml:space="preserve"> </w:t>
      </w:r>
      <w:r w:rsidR="00B76533" w:rsidRPr="00EF6E2A">
        <w:rPr>
          <w:color w:val="153D63" w:themeColor="text2" w:themeTint="E6"/>
          <w:lang w:val="x-none"/>
        </w:rPr>
        <w:t>In Section 2.1 “Lignin PU Experiments</w:t>
      </w:r>
      <w:r w:rsidRPr="00EF6E2A">
        <w:rPr>
          <w:color w:val="153D63" w:themeColor="text2" w:themeTint="E6"/>
          <w:lang w:val="x-none"/>
        </w:rPr>
        <w:t xml:space="preserve">. We also acknowledge that extending the model to </w:t>
      </w:r>
      <w:proofErr w:type="spellStart"/>
      <w:r w:rsidRPr="00EF6E2A">
        <w:rPr>
          <w:color w:val="153D63" w:themeColor="text2" w:themeTint="E6"/>
          <w:lang w:val="x-none"/>
        </w:rPr>
        <w:t>lignins</w:t>
      </w:r>
      <w:proofErr w:type="spellEnd"/>
      <w:r w:rsidRPr="00EF6E2A">
        <w:rPr>
          <w:color w:val="153D63" w:themeColor="text2" w:themeTint="E6"/>
          <w:lang w:val="x-none"/>
        </w:rPr>
        <w:t xml:space="preserve"> from different botanical or processing origins would require additional lignin</w:t>
      </w:r>
      <w:r w:rsidRPr="00EF6E2A">
        <w:rPr>
          <w:rFonts w:ascii="Cambria Math" w:hAnsi="Cambria Math" w:cs="Cambria Math"/>
          <w:color w:val="153D63" w:themeColor="text2" w:themeTint="E6"/>
          <w:lang w:val="x-none"/>
        </w:rPr>
        <w:t>‑</w:t>
      </w:r>
      <w:r w:rsidRPr="00EF6E2A">
        <w:rPr>
          <w:color w:val="153D63" w:themeColor="text2" w:themeTint="E6"/>
          <w:lang w:val="x-none"/>
        </w:rPr>
        <w:t>specific descriptors such as:</w:t>
      </w:r>
    </w:p>
    <w:p w14:paraId="29663C2A" w14:textId="5AA4F6BB" w:rsidR="00EF6E2A" w:rsidRPr="00EF6E2A" w:rsidRDefault="00EF6E2A" w:rsidP="00EF6E2A">
      <w:pPr>
        <w:pStyle w:val="ListParagraph"/>
        <w:numPr>
          <w:ilvl w:val="0"/>
          <w:numId w:val="3"/>
        </w:numPr>
        <w:spacing w:line="276" w:lineRule="auto"/>
        <w:jc w:val="both"/>
        <w:rPr>
          <w:color w:val="153D63" w:themeColor="text2" w:themeTint="E6"/>
          <w:lang w:val="x-none"/>
        </w:rPr>
      </w:pPr>
      <w:r w:rsidRPr="00EF6E2A">
        <w:rPr>
          <w:color w:val="153D63" w:themeColor="text2" w:themeTint="E6"/>
          <w:lang w:val="x-none"/>
        </w:rPr>
        <w:t>Number average molecular weight (Mn) or weight-average molecular weight (Mw)</w:t>
      </w:r>
    </w:p>
    <w:p w14:paraId="521ED692" w14:textId="0D7C55D9" w:rsidR="00EF6E2A" w:rsidRPr="00EF6E2A" w:rsidRDefault="00EF6E2A" w:rsidP="00EF6E2A">
      <w:pPr>
        <w:pStyle w:val="ListParagraph"/>
        <w:numPr>
          <w:ilvl w:val="0"/>
          <w:numId w:val="3"/>
        </w:numPr>
        <w:spacing w:line="276" w:lineRule="auto"/>
        <w:jc w:val="both"/>
        <w:rPr>
          <w:color w:val="153D63" w:themeColor="text2" w:themeTint="E6"/>
          <w:lang w:val="x-none"/>
        </w:rPr>
      </w:pPr>
      <w:r w:rsidRPr="00EF6E2A">
        <w:rPr>
          <w:color w:val="153D63" w:themeColor="text2" w:themeTint="E6"/>
          <w:lang w:val="x-none"/>
        </w:rPr>
        <w:t>Polydispersity (Ð)</w:t>
      </w:r>
    </w:p>
    <w:p w14:paraId="041A8B8A" w14:textId="00073CEA" w:rsidR="00EF6E2A" w:rsidRPr="00EF6E2A" w:rsidRDefault="00EF6E2A" w:rsidP="00EF6E2A">
      <w:pPr>
        <w:pStyle w:val="ListParagraph"/>
        <w:numPr>
          <w:ilvl w:val="0"/>
          <w:numId w:val="3"/>
        </w:numPr>
        <w:spacing w:line="276" w:lineRule="auto"/>
        <w:jc w:val="both"/>
        <w:rPr>
          <w:color w:val="153D63" w:themeColor="text2" w:themeTint="E6"/>
          <w:lang w:val="x-none"/>
        </w:rPr>
      </w:pPr>
      <w:r w:rsidRPr="00EF6E2A">
        <w:rPr>
          <w:color w:val="153D63" w:themeColor="text2" w:themeTint="E6"/>
          <w:lang w:val="x-none"/>
        </w:rPr>
        <w:t>Aliphatic and total hydroxyl content (mmol/g)</w:t>
      </w:r>
    </w:p>
    <w:p w14:paraId="0967E136" w14:textId="33B3F4E9" w:rsidR="00EF6E2A" w:rsidRPr="00EF6E2A" w:rsidRDefault="00EF6E2A" w:rsidP="00EF6E2A">
      <w:pPr>
        <w:pStyle w:val="ListParagraph"/>
        <w:numPr>
          <w:ilvl w:val="0"/>
          <w:numId w:val="3"/>
        </w:numPr>
        <w:spacing w:line="276" w:lineRule="auto"/>
        <w:jc w:val="both"/>
        <w:rPr>
          <w:color w:val="153D63" w:themeColor="text2" w:themeTint="E6"/>
          <w:lang w:val="x-none"/>
        </w:rPr>
      </w:pPr>
      <w:proofErr w:type="spellStart"/>
      <w:r w:rsidRPr="00EF6E2A">
        <w:rPr>
          <w:color w:val="153D63" w:themeColor="text2" w:themeTint="E6"/>
          <w:lang w:val="x-none"/>
        </w:rPr>
        <w:t>Syringyl</w:t>
      </w:r>
      <w:proofErr w:type="spellEnd"/>
      <w:r w:rsidRPr="00EF6E2A">
        <w:rPr>
          <w:color w:val="153D63" w:themeColor="text2" w:themeTint="E6"/>
          <w:lang w:val="x-none"/>
        </w:rPr>
        <w:t>/</w:t>
      </w:r>
      <w:proofErr w:type="spellStart"/>
      <w:r w:rsidRPr="00EF6E2A">
        <w:rPr>
          <w:color w:val="153D63" w:themeColor="text2" w:themeTint="E6"/>
          <w:lang w:val="x-none"/>
        </w:rPr>
        <w:t>Guaiacyl</w:t>
      </w:r>
      <w:proofErr w:type="spellEnd"/>
      <w:r w:rsidRPr="00EF6E2A">
        <w:rPr>
          <w:color w:val="153D63" w:themeColor="text2" w:themeTint="E6"/>
          <w:lang w:val="x-none"/>
        </w:rPr>
        <w:t>/Hydroxyphenyl (S/G/H) unit ratios</w:t>
      </w:r>
    </w:p>
    <w:p w14:paraId="7137914E" w14:textId="77777777" w:rsidR="00EF6E2A" w:rsidRPr="00EF6E2A" w:rsidRDefault="00EF6E2A" w:rsidP="00EF6E2A">
      <w:pPr>
        <w:spacing w:line="276" w:lineRule="auto"/>
        <w:jc w:val="both"/>
        <w:rPr>
          <w:color w:val="153D63" w:themeColor="text2" w:themeTint="E6"/>
          <w:lang w:val="x-none"/>
        </w:rPr>
      </w:pPr>
      <w:r w:rsidRPr="00EF6E2A">
        <w:rPr>
          <w:color w:val="153D63" w:themeColor="text2" w:themeTint="E6"/>
          <w:lang w:val="x-none"/>
        </w:rPr>
        <w:t>Alternatively, the model could be retrained or fine</w:t>
      </w:r>
      <w:r w:rsidRPr="00EF6E2A">
        <w:rPr>
          <w:rFonts w:ascii="Cambria Math" w:hAnsi="Cambria Math" w:cs="Cambria Math"/>
          <w:color w:val="153D63" w:themeColor="text2" w:themeTint="E6"/>
          <w:lang w:val="x-none"/>
        </w:rPr>
        <w:t>‑</w:t>
      </w:r>
      <w:r w:rsidRPr="00EF6E2A">
        <w:rPr>
          <w:color w:val="153D63" w:themeColor="text2" w:themeTint="E6"/>
          <w:lang w:val="x-none"/>
        </w:rPr>
        <w:t>tuned using transfer</w:t>
      </w:r>
      <w:r w:rsidRPr="00EF6E2A">
        <w:rPr>
          <w:rFonts w:ascii="Cambria Math" w:hAnsi="Cambria Math" w:cs="Cambria Math"/>
          <w:color w:val="153D63" w:themeColor="text2" w:themeTint="E6"/>
          <w:lang w:val="x-none"/>
        </w:rPr>
        <w:t>‑</w:t>
      </w:r>
      <w:r w:rsidRPr="00EF6E2A">
        <w:rPr>
          <w:color w:val="153D63" w:themeColor="text2" w:themeTint="E6"/>
          <w:lang w:val="x-none"/>
        </w:rPr>
        <w:t>learning strategies once such descriptors are available, but this is not the scope for this study.</w:t>
      </w:r>
    </w:p>
    <w:p w14:paraId="730BFC85" w14:textId="1CE697C8" w:rsidR="00EF6E2A" w:rsidRPr="001D7158" w:rsidRDefault="002B34B6" w:rsidP="00EF6E2A">
      <w:pPr>
        <w:spacing w:line="276" w:lineRule="auto"/>
        <w:jc w:val="both"/>
        <w:rPr>
          <w:b/>
          <w:bCs/>
          <w:lang w:val="x-none"/>
        </w:rPr>
      </w:pPr>
      <w:r w:rsidRPr="001D7158">
        <w:rPr>
          <w:b/>
          <w:bCs/>
          <w:lang w:val="x-none"/>
        </w:rPr>
        <w:t>Comment 2</w:t>
      </w:r>
    </w:p>
    <w:p w14:paraId="672BEED0" w14:textId="6D220E06" w:rsidR="002B34B6" w:rsidRDefault="002B34B6" w:rsidP="00EF6E2A">
      <w:pPr>
        <w:spacing w:line="276" w:lineRule="auto"/>
        <w:jc w:val="both"/>
      </w:pPr>
      <w:r w:rsidRPr="002B34B6">
        <w:t>"</w:t>
      </w:r>
      <w:r w:rsidRPr="002B34B6">
        <w:rPr>
          <w:lang w:val="en-US"/>
        </w:rPr>
        <w:t>The introduction did not make it clear why the authors selected lignin-PUs as the research subject for predicting Tg. Authors should thoroughly justify the necessity and significance of studying Tg of l lignin-PUs in the Introduction section.</w:t>
      </w:r>
      <w:r w:rsidRPr="002B34B6">
        <w:t xml:space="preserve"> "</w:t>
      </w:r>
    </w:p>
    <w:p w14:paraId="511954BA" w14:textId="77777777" w:rsidR="002B34B6" w:rsidRPr="002B34B6" w:rsidRDefault="002B34B6" w:rsidP="002B34B6">
      <w:pPr>
        <w:spacing w:line="276" w:lineRule="auto"/>
        <w:jc w:val="both"/>
        <w:rPr>
          <w:color w:val="153D63" w:themeColor="text2" w:themeTint="E6"/>
        </w:rPr>
      </w:pPr>
      <w:r w:rsidRPr="002B34B6">
        <w:rPr>
          <w:color w:val="153D63" w:themeColor="text2" w:themeTint="E6"/>
        </w:rPr>
        <w:lastRenderedPageBreak/>
        <w:t>We thank the reviewer for this valuable comment. We have now expanded the Introduction to clearly justify why lignin</w:t>
      </w:r>
      <w:r w:rsidRPr="002B34B6">
        <w:rPr>
          <w:color w:val="153D63" w:themeColor="text2" w:themeTint="E6"/>
        </w:rPr>
        <w:noBreakHyphen/>
        <w:t>based polyurethanes are an appropriate and meaningful model system for T</w:t>
      </w:r>
      <w:r w:rsidRPr="002B34B6">
        <w:rPr>
          <w:color w:val="153D63" w:themeColor="text2" w:themeTint="E6"/>
          <w:vertAlign w:val="subscript"/>
        </w:rPr>
        <w:t xml:space="preserve">g </w:t>
      </w:r>
      <w:r w:rsidRPr="002B34B6">
        <w:rPr>
          <w:color w:val="153D63" w:themeColor="text2" w:themeTint="E6"/>
        </w:rPr>
        <w:t>prediction.</w:t>
      </w:r>
    </w:p>
    <w:p w14:paraId="53D44101" w14:textId="77777777" w:rsidR="002B34B6" w:rsidRPr="002B34B6" w:rsidRDefault="002B34B6" w:rsidP="002B34B6">
      <w:pPr>
        <w:spacing w:line="276" w:lineRule="auto"/>
        <w:jc w:val="both"/>
        <w:rPr>
          <w:color w:val="153D63" w:themeColor="text2" w:themeTint="E6"/>
        </w:rPr>
      </w:pPr>
      <w:r w:rsidRPr="002B34B6">
        <w:rPr>
          <w:color w:val="153D63" w:themeColor="text2" w:themeTint="E6"/>
        </w:rPr>
        <w:t>Lignin is inherently a natural polyol, containing aliphatic and phenolic hydroxyl groups that make it chemically compatible with polyurethane synthesis as well as other polymer families such as polyethers, polyacetals, and polyesters. However, polyurethanes remain by far the most widely used application platform, spanning thin films, coatings, foams, elastomers, adhesives, and composite matrices. This broad industrial relevance, combined with the structural complexity introduced by lignin, makes lignin</w:t>
      </w:r>
      <w:r w:rsidRPr="002B34B6">
        <w:rPr>
          <w:color w:val="153D63" w:themeColor="text2" w:themeTint="E6"/>
        </w:rPr>
        <w:noBreakHyphen/>
        <w:t>PUs a particularly impactful system for data</w:t>
      </w:r>
      <w:r w:rsidRPr="002B34B6">
        <w:rPr>
          <w:color w:val="153D63" w:themeColor="text2" w:themeTint="E6"/>
        </w:rPr>
        <w:noBreakHyphen/>
        <w:t>driven design.</w:t>
      </w:r>
    </w:p>
    <w:p w14:paraId="10CEB09D" w14:textId="77777777" w:rsidR="002B34B6" w:rsidRPr="002B34B6" w:rsidRDefault="002B34B6" w:rsidP="002B34B6">
      <w:pPr>
        <w:spacing w:line="276" w:lineRule="auto"/>
        <w:jc w:val="both"/>
        <w:rPr>
          <w:color w:val="153D63" w:themeColor="text2" w:themeTint="E6"/>
        </w:rPr>
      </w:pPr>
      <w:r w:rsidRPr="002B34B6">
        <w:rPr>
          <w:color w:val="153D63" w:themeColor="text2" w:themeTint="E6"/>
        </w:rPr>
        <w:t>Additionally, the isocyanate–hydroxyl reaction proceeds under mild conditions, is highly efficient, and allows rapid preparation of many formulation variants. This makes lignin</w:t>
      </w:r>
      <w:r w:rsidRPr="002B34B6">
        <w:rPr>
          <w:color w:val="153D63" w:themeColor="text2" w:themeTint="E6"/>
        </w:rPr>
        <w:noBreakHyphen/>
        <w:t>PU chemistry especially suitable for generating experimental datasets, as multiple samples can be synthesized reproducibly with minimal processing constraints.</w:t>
      </w:r>
    </w:p>
    <w:p w14:paraId="645A2411" w14:textId="77777777" w:rsidR="002B34B6" w:rsidRPr="002B34B6" w:rsidRDefault="002B34B6" w:rsidP="002B34B6">
      <w:pPr>
        <w:spacing w:line="276" w:lineRule="auto"/>
        <w:jc w:val="both"/>
        <w:rPr>
          <w:color w:val="153D63" w:themeColor="text2" w:themeTint="E6"/>
        </w:rPr>
      </w:pPr>
      <w:r w:rsidRPr="002B34B6">
        <w:rPr>
          <w:color w:val="153D63" w:themeColor="text2" w:themeTint="E6"/>
        </w:rPr>
        <w:t>We also emphasize that T</w:t>
      </w:r>
      <w:r w:rsidRPr="002B34B6">
        <w:rPr>
          <w:color w:val="153D63" w:themeColor="text2" w:themeTint="E6"/>
          <w:vertAlign w:val="subscript"/>
        </w:rPr>
        <w:t>g</w:t>
      </w:r>
      <w:r w:rsidRPr="002B34B6">
        <w:rPr>
          <w:color w:val="153D63" w:themeColor="text2" w:themeTint="E6"/>
        </w:rPr>
        <w:t xml:space="preserve"> measured by DSC is an ideal target property for ML</w:t>
      </w:r>
      <w:r w:rsidRPr="002B34B6">
        <w:rPr>
          <w:color w:val="153D63" w:themeColor="text2" w:themeTint="E6"/>
        </w:rPr>
        <w:noBreakHyphen/>
        <w:t>guided formulation design. Tg is a fundamental thermal parameter that directly reflects the internal structure of PU networks, segmental mobility, crosslink density, and soft</w:t>
      </w:r>
      <w:r w:rsidRPr="002B34B6">
        <w:rPr>
          <w:color w:val="153D63" w:themeColor="text2" w:themeTint="E6"/>
        </w:rPr>
        <w:noBreakHyphen/>
        <w:t>segment flexibility, and it is routinely used across all PU applications (coatings, foams, films, elastomers) to assess performance. Moreover, DSC analysis can be performed in autosampler mode, enabling high</w:t>
      </w:r>
      <w:r w:rsidRPr="002B34B6">
        <w:rPr>
          <w:color w:val="153D63" w:themeColor="text2" w:themeTint="E6"/>
        </w:rPr>
        <w:noBreakHyphen/>
        <w:t>throughput acquisition of Tg values with minimal material consumption, which is essential for building experimental datasets.</w:t>
      </w:r>
    </w:p>
    <w:p w14:paraId="71268062" w14:textId="6775B968" w:rsidR="002B34B6" w:rsidRPr="002B34B6" w:rsidRDefault="002B34B6" w:rsidP="002B34B6">
      <w:pPr>
        <w:spacing w:line="276" w:lineRule="auto"/>
        <w:jc w:val="both"/>
        <w:rPr>
          <w:color w:val="153D63" w:themeColor="text2" w:themeTint="E6"/>
        </w:rPr>
      </w:pPr>
      <w:r w:rsidRPr="002B34B6">
        <w:rPr>
          <w:color w:val="153D63" w:themeColor="text2" w:themeTint="E6"/>
        </w:rPr>
        <w:t>These points have now been added to the Introduction</w:t>
      </w:r>
      <w:r w:rsidR="00685454">
        <w:rPr>
          <w:color w:val="153D63" w:themeColor="text2" w:themeTint="E6"/>
          <w:lang w:val="en-US"/>
        </w:rPr>
        <w:t xml:space="preserve"> (see tracked changes version of the manuscript for the exact inserts)</w:t>
      </w:r>
      <w:r w:rsidRPr="002B34B6">
        <w:rPr>
          <w:color w:val="153D63" w:themeColor="text2" w:themeTint="E6"/>
        </w:rPr>
        <w:t xml:space="preserve"> to clarify the scientific and practical motivation for selecting lignin</w:t>
      </w:r>
      <w:r w:rsidRPr="002B34B6">
        <w:rPr>
          <w:color w:val="153D63" w:themeColor="text2" w:themeTint="E6"/>
        </w:rPr>
        <w:noBreakHyphen/>
        <w:t>PUs and T</w:t>
      </w:r>
      <w:r w:rsidRPr="002B34B6">
        <w:rPr>
          <w:color w:val="153D63" w:themeColor="text2" w:themeTint="E6"/>
          <w:vertAlign w:val="subscript"/>
        </w:rPr>
        <w:t>g</w:t>
      </w:r>
      <w:r w:rsidRPr="002B34B6">
        <w:rPr>
          <w:color w:val="153D63" w:themeColor="text2" w:themeTint="E6"/>
        </w:rPr>
        <w:t xml:space="preserve"> prediction as the focus of this study.</w:t>
      </w:r>
    </w:p>
    <w:p w14:paraId="02792F59" w14:textId="6E5852A8" w:rsidR="00685454" w:rsidRPr="001D7158" w:rsidRDefault="00685454" w:rsidP="00EF6E2A">
      <w:pPr>
        <w:spacing w:line="276" w:lineRule="auto"/>
        <w:jc w:val="both"/>
        <w:rPr>
          <w:b/>
          <w:bCs/>
          <w:lang w:val="x-none"/>
        </w:rPr>
      </w:pPr>
      <w:r w:rsidRPr="001D7158">
        <w:rPr>
          <w:b/>
          <w:bCs/>
          <w:lang w:val="x-none"/>
        </w:rPr>
        <w:t>Comment 3</w:t>
      </w:r>
    </w:p>
    <w:p w14:paraId="243D5BE5" w14:textId="448FD010" w:rsidR="00685454" w:rsidRDefault="00685454" w:rsidP="00EF6E2A">
      <w:pPr>
        <w:spacing w:line="276" w:lineRule="auto"/>
        <w:jc w:val="both"/>
      </w:pPr>
      <w:r>
        <w:t>"</w:t>
      </w:r>
      <w:r w:rsidRPr="00685454">
        <w:rPr>
          <w:lang w:val="en-US"/>
        </w:rPr>
        <w:t>All experiments are based on the same batch of extracted Kraft lignin, which raises the following question: Is the model only effective for this specific lignin batch? If the lignin source is changed (usually accompanied by notable variations in structural parameters such as molecular weight, composition of basic structural units, and functional groups.), would the model require retraining or adjustment to maintain prediction accuracy?</w:t>
      </w:r>
      <w:r w:rsidRPr="00685454">
        <w:t xml:space="preserve"> </w:t>
      </w:r>
      <w:r>
        <w:t>"</w:t>
      </w:r>
    </w:p>
    <w:p w14:paraId="34325627" w14:textId="77777777" w:rsidR="00685454" w:rsidRPr="00685454" w:rsidRDefault="00685454" w:rsidP="00685454">
      <w:pPr>
        <w:spacing w:line="276" w:lineRule="auto"/>
        <w:jc w:val="both"/>
        <w:rPr>
          <w:color w:val="153D63" w:themeColor="text2" w:themeTint="E6"/>
          <w:lang w:val="x-none"/>
        </w:rPr>
      </w:pPr>
      <w:r w:rsidRPr="00685454">
        <w:rPr>
          <w:color w:val="153D63" w:themeColor="text2" w:themeTint="E6"/>
          <w:lang w:val="x-none"/>
        </w:rPr>
        <w:t xml:space="preserve">We thank the reviewer for this important question. As noted earlier, lignin heterogeneity is a major challenge for predictive </w:t>
      </w:r>
      <w:proofErr w:type="spellStart"/>
      <w:r w:rsidRPr="00685454">
        <w:rPr>
          <w:color w:val="153D63" w:themeColor="text2" w:themeTint="E6"/>
          <w:lang w:val="x-none"/>
        </w:rPr>
        <w:t>modeling</w:t>
      </w:r>
      <w:proofErr w:type="spellEnd"/>
      <w:r w:rsidRPr="00685454">
        <w:rPr>
          <w:color w:val="153D63" w:themeColor="text2" w:themeTint="E6"/>
          <w:lang w:val="x-none"/>
        </w:rPr>
        <w:t>. In this study, we intentionally used Kraft lignin, the most globally available industrial lignin, and applied a solvent</w:t>
      </w:r>
      <w:r w:rsidRPr="00685454">
        <w:rPr>
          <w:color w:val="153D63" w:themeColor="text2" w:themeTint="E6"/>
          <w:lang w:val="x-none"/>
        </w:rPr>
        <w:noBreakHyphen/>
        <w:t>extraction upgrade step to isolate the soluble EKL fraction. This procedure yields lignin oligomers with more uniform molecular weight distribution and hydroxyl</w:t>
      </w:r>
      <w:r w:rsidRPr="00685454">
        <w:rPr>
          <w:color w:val="153D63" w:themeColor="text2" w:themeTint="E6"/>
          <w:lang w:val="x-none"/>
        </w:rPr>
        <w:noBreakHyphen/>
        <w:t>group content, which are critical parameters for polyurethane network formation.</w:t>
      </w:r>
    </w:p>
    <w:p w14:paraId="0A1FE66B" w14:textId="77777777" w:rsidR="00685454" w:rsidRPr="00685454" w:rsidRDefault="00685454" w:rsidP="00685454">
      <w:pPr>
        <w:spacing w:line="276" w:lineRule="auto"/>
        <w:jc w:val="both"/>
        <w:rPr>
          <w:color w:val="153D63" w:themeColor="text2" w:themeTint="E6"/>
          <w:lang w:val="x-none"/>
        </w:rPr>
      </w:pPr>
      <w:r w:rsidRPr="00685454">
        <w:rPr>
          <w:color w:val="153D63" w:themeColor="text2" w:themeTint="E6"/>
          <w:lang w:val="x-none"/>
        </w:rPr>
        <w:lastRenderedPageBreak/>
        <w:t>Producing homogeneous PU materials requires that the lignin fraction is well dispersed in the formulation components. Solvent</w:t>
      </w:r>
      <w:r w:rsidRPr="00685454">
        <w:rPr>
          <w:color w:val="153D63" w:themeColor="text2" w:themeTint="E6"/>
          <w:lang w:val="x-none"/>
        </w:rPr>
        <w:noBreakHyphen/>
        <w:t xml:space="preserve">extracted Kraft lignin is known to disperse efficiently in polyol–isocyanate mixtures, enabling reproducible PU synthesis. Importantly, when </w:t>
      </w:r>
      <w:proofErr w:type="spellStart"/>
      <w:r w:rsidRPr="00685454">
        <w:rPr>
          <w:color w:val="153D63" w:themeColor="text2" w:themeTint="E6"/>
          <w:lang w:val="x-none"/>
        </w:rPr>
        <w:t>lignins</w:t>
      </w:r>
      <w:proofErr w:type="spellEnd"/>
      <w:r w:rsidRPr="00685454">
        <w:rPr>
          <w:color w:val="153D63" w:themeColor="text2" w:themeTint="E6"/>
          <w:lang w:val="x-none"/>
        </w:rPr>
        <w:t xml:space="preserve"> from different botanical origins or pulping methods undergo the same solvent</w:t>
      </w:r>
      <w:r w:rsidRPr="00685454">
        <w:rPr>
          <w:color w:val="153D63" w:themeColor="text2" w:themeTint="E6"/>
          <w:lang w:val="x-none"/>
        </w:rPr>
        <w:noBreakHyphen/>
        <w:t>extraction procedure, the resulting soluble fractions tend to converge toward similar molecular</w:t>
      </w:r>
      <w:r w:rsidRPr="00685454">
        <w:rPr>
          <w:color w:val="153D63" w:themeColor="text2" w:themeTint="E6"/>
          <w:lang w:val="x-none"/>
        </w:rPr>
        <w:noBreakHyphen/>
        <w:t>weight ranges and OH</w:t>
      </w:r>
      <w:r w:rsidRPr="00685454">
        <w:rPr>
          <w:color w:val="153D63" w:themeColor="text2" w:themeTint="E6"/>
          <w:lang w:val="x-none"/>
        </w:rPr>
        <w:noBreakHyphen/>
        <w:t>group distributions, because the extraction selectively isolates the low</w:t>
      </w:r>
      <w:r w:rsidRPr="00685454">
        <w:rPr>
          <w:color w:val="153D63" w:themeColor="text2" w:themeTint="E6"/>
          <w:lang w:val="x-none"/>
        </w:rPr>
        <w:noBreakHyphen/>
        <w:t>molecular</w:t>
      </w:r>
      <w:r w:rsidRPr="00685454">
        <w:rPr>
          <w:color w:val="153D63" w:themeColor="text2" w:themeTint="E6"/>
          <w:lang w:val="x-none"/>
        </w:rPr>
        <w:noBreakHyphen/>
        <w:t>weight, better</w:t>
      </w:r>
      <w:r w:rsidRPr="00685454">
        <w:rPr>
          <w:color w:val="153D63" w:themeColor="text2" w:themeTint="E6"/>
          <w:lang w:val="x-none"/>
        </w:rPr>
        <w:noBreakHyphen/>
        <w:t>defined lignin oligomers. Therefore, moderate changes in lignin source do not necessarily translate into large variations in the extracted fraction.</w:t>
      </w:r>
    </w:p>
    <w:p w14:paraId="04D75EF5" w14:textId="77777777" w:rsidR="00685454" w:rsidRPr="00685454" w:rsidRDefault="00685454" w:rsidP="00685454">
      <w:pPr>
        <w:spacing w:line="276" w:lineRule="auto"/>
        <w:jc w:val="both"/>
        <w:rPr>
          <w:color w:val="153D63" w:themeColor="text2" w:themeTint="E6"/>
          <w:lang w:val="x-none"/>
        </w:rPr>
      </w:pPr>
      <w:r w:rsidRPr="00685454">
        <w:rPr>
          <w:color w:val="153D63" w:themeColor="text2" w:themeTint="E6"/>
          <w:lang w:val="x-none"/>
        </w:rPr>
        <w:t>Only when the fractionation method or extraction conditions are drastically altered does the botanical origin exert a much stronger influence on the resulting lignin structure. In such cases, the chemical space would differ significantly from the EKL used here.</w:t>
      </w:r>
    </w:p>
    <w:p w14:paraId="55628670" w14:textId="77777777" w:rsidR="00685454" w:rsidRPr="00685454" w:rsidRDefault="00685454" w:rsidP="00685454">
      <w:pPr>
        <w:spacing w:line="276" w:lineRule="auto"/>
        <w:jc w:val="both"/>
        <w:rPr>
          <w:color w:val="153D63" w:themeColor="text2" w:themeTint="E6"/>
          <w:lang w:val="x-none"/>
        </w:rPr>
      </w:pPr>
      <w:r w:rsidRPr="00685454">
        <w:rPr>
          <w:color w:val="153D63" w:themeColor="text2" w:themeTint="E6"/>
          <w:lang w:val="x-none"/>
        </w:rPr>
        <w:t>In summary, if the lignin source is changed, two conditions must be met to maintain predictive accuracy:</w:t>
      </w:r>
    </w:p>
    <w:p w14:paraId="1ECC5F1A" w14:textId="77777777" w:rsidR="00685454" w:rsidRPr="00685454" w:rsidRDefault="00685454" w:rsidP="00685454">
      <w:pPr>
        <w:numPr>
          <w:ilvl w:val="0"/>
          <w:numId w:val="4"/>
        </w:numPr>
        <w:spacing w:line="276" w:lineRule="auto"/>
        <w:jc w:val="both"/>
        <w:rPr>
          <w:color w:val="153D63" w:themeColor="text2" w:themeTint="E6"/>
          <w:lang w:val="x-none"/>
        </w:rPr>
      </w:pPr>
      <w:r w:rsidRPr="00685454">
        <w:rPr>
          <w:color w:val="153D63" w:themeColor="text2" w:themeTint="E6"/>
          <w:lang w:val="x-none"/>
        </w:rPr>
        <w:t>The lignin must first be fractionated to obtain a soluble, well</w:t>
      </w:r>
      <w:r w:rsidRPr="00685454">
        <w:rPr>
          <w:color w:val="153D63" w:themeColor="text2" w:themeTint="E6"/>
          <w:lang w:val="x-none"/>
        </w:rPr>
        <w:noBreakHyphen/>
        <w:t>defined fraction that can form homogeneous PU networks.</w:t>
      </w:r>
    </w:p>
    <w:p w14:paraId="21692AD5" w14:textId="77777777" w:rsidR="00685454" w:rsidRPr="00685454" w:rsidRDefault="00685454" w:rsidP="00685454">
      <w:pPr>
        <w:numPr>
          <w:ilvl w:val="0"/>
          <w:numId w:val="4"/>
        </w:numPr>
        <w:spacing w:line="276" w:lineRule="auto"/>
        <w:jc w:val="both"/>
        <w:rPr>
          <w:color w:val="153D63" w:themeColor="text2" w:themeTint="E6"/>
          <w:lang w:val="x-none"/>
        </w:rPr>
      </w:pPr>
      <w:r w:rsidRPr="00685454">
        <w:rPr>
          <w:color w:val="153D63" w:themeColor="text2" w:themeTint="E6"/>
          <w:lang w:val="x-none"/>
        </w:rPr>
        <w:t>If the lignin fraction differs significantly in structure, lignin</w:t>
      </w:r>
      <w:r w:rsidRPr="00685454">
        <w:rPr>
          <w:color w:val="153D63" w:themeColor="text2" w:themeTint="E6"/>
          <w:lang w:val="x-none"/>
        </w:rPr>
        <w:noBreakHyphen/>
        <w:t>specific descriptors, such as Mn, dispersity, aliphatic and total OH content, or S/G/H ratio, should be incorporated into the model, or the model should be retrained or fine</w:t>
      </w:r>
      <w:r w:rsidRPr="00685454">
        <w:rPr>
          <w:color w:val="153D63" w:themeColor="text2" w:themeTint="E6"/>
          <w:lang w:val="x-none"/>
        </w:rPr>
        <w:noBreakHyphen/>
        <w:t>tuned.</w:t>
      </w:r>
    </w:p>
    <w:p w14:paraId="3B843BFF" w14:textId="31095841" w:rsidR="00685454" w:rsidRDefault="00685454" w:rsidP="00685454">
      <w:pPr>
        <w:spacing w:line="276" w:lineRule="auto"/>
        <w:jc w:val="both"/>
        <w:rPr>
          <w:color w:val="153D63" w:themeColor="text2" w:themeTint="E6"/>
          <w:lang w:val="x-none"/>
        </w:rPr>
      </w:pPr>
      <w:r w:rsidRPr="00BF12F0">
        <w:rPr>
          <w:color w:val="153D63" w:themeColor="text2" w:themeTint="E6"/>
          <w:lang w:val="x-none"/>
        </w:rPr>
        <w:t xml:space="preserve">We have now clarified this in the manuscript. </w:t>
      </w:r>
      <w:r w:rsidR="00BF12F0" w:rsidRPr="00BF12F0">
        <w:rPr>
          <w:color w:val="153D63" w:themeColor="text2" w:themeTint="E6"/>
          <w:lang w:val="x-none"/>
        </w:rPr>
        <w:t xml:space="preserve">And have incorporated the information within </w:t>
      </w:r>
      <w:r w:rsidRPr="00BF12F0">
        <w:rPr>
          <w:color w:val="153D63" w:themeColor="text2" w:themeTint="E6"/>
          <w:lang w:val="x-none"/>
        </w:rPr>
        <w:t xml:space="preserve"> Section 2.1 Lignin PU</w:t>
      </w:r>
      <w:r w:rsidR="00BF12F0" w:rsidRPr="00BF12F0">
        <w:rPr>
          <w:color w:val="153D63" w:themeColor="text2" w:themeTint="E6"/>
          <w:lang w:val="x-none"/>
        </w:rPr>
        <w:t xml:space="preserve"> Experiments</w:t>
      </w:r>
    </w:p>
    <w:p w14:paraId="05B2DE03" w14:textId="29C1AAE2" w:rsidR="00BF12F0" w:rsidRPr="001D7158" w:rsidRDefault="00BF12F0" w:rsidP="00685454">
      <w:pPr>
        <w:spacing w:line="276" w:lineRule="auto"/>
        <w:jc w:val="both"/>
        <w:rPr>
          <w:b/>
          <w:bCs/>
          <w:lang w:val="x-none"/>
        </w:rPr>
      </w:pPr>
      <w:r w:rsidRPr="001D7158">
        <w:rPr>
          <w:b/>
          <w:bCs/>
          <w:lang w:val="x-none"/>
        </w:rPr>
        <w:t>Comment 4</w:t>
      </w:r>
    </w:p>
    <w:p w14:paraId="1D481ACE" w14:textId="391FB421" w:rsidR="00BF12F0" w:rsidRPr="00334018" w:rsidRDefault="00BF12F0" w:rsidP="00685454">
      <w:pPr>
        <w:spacing w:line="276" w:lineRule="auto"/>
        <w:jc w:val="both"/>
        <w:rPr>
          <w:color w:val="000000" w:themeColor="text1"/>
        </w:rPr>
      </w:pPr>
      <w:r w:rsidRPr="00334018">
        <w:rPr>
          <w:color w:val="000000" w:themeColor="text1"/>
        </w:rPr>
        <w:t>"</w:t>
      </w:r>
      <w:r w:rsidRPr="00334018">
        <w:rPr>
          <w:color w:val="000000" w:themeColor="text1"/>
          <w:lang w:val="en-US"/>
        </w:rPr>
        <w:t>For materials design, the developed Tg prediction model for lignin-PUs should inform and guide the rational design and optimization of polyurethane architectures. It is recommended to add a relevant summary in the structural discussion section.</w:t>
      </w:r>
      <w:r w:rsidRPr="00334018">
        <w:rPr>
          <w:color w:val="000000" w:themeColor="text1"/>
        </w:rPr>
        <w:t xml:space="preserve"> "</w:t>
      </w:r>
      <w:r w:rsidR="007815B7" w:rsidRPr="00334018">
        <w:rPr>
          <w:color w:val="000000" w:themeColor="text1"/>
        </w:rPr>
        <w:br/>
      </w:r>
    </w:p>
    <w:p w14:paraId="6A2A89C1" w14:textId="77777777" w:rsidR="007815B7" w:rsidRPr="00334018" w:rsidRDefault="007815B7" w:rsidP="007815B7">
      <w:pPr>
        <w:spacing w:line="276" w:lineRule="auto"/>
        <w:jc w:val="both"/>
        <w:rPr>
          <w:color w:val="153D63" w:themeColor="text2" w:themeTint="E6"/>
        </w:rPr>
      </w:pPr>
      <w:r w:rsidRPr="00334018">
        <w:rPr>
          <w:color w:val="153D63" w:themeColor="text2" w:themeTint="E6"/>
        </w:rPr>
        <w:t>We thank the reviewer for this constructive suggestion. We agree that explicitly linking the model's learned relationships to actionable design guidelines strengthens the practical impact of the work. In the revised manuscript, we have added a summary in the structural discussion section (Section 3.5) that distils the mapping and adaptive grid search results into concrete formulation design recommendations. The key design principles derived from the model are as follows:</w:t>
      </w:r>
    </w:p>
    <w:p w14:paraId="287F54C0" w14:textId="08A3D4D3" w:rsidR="007815B7" w:rsidRPr="00334018" w:rsidRDefault="007815B7" w:rsidP="007815B7">
      <w:pPr>
        <w:spacing w:line="276" w:lineRule="auto"/>
        <w:jc w:val="both"/>
        <w:rPr>
          <w:color w:val="153D63" w:themeColor="text2" w:themeTint="E6"/>
        </w:rPr>
      </w:pPr>
      <w:r w:rsidRPr="00334018">
        <w:rPr>
          <w:color w:val="153D63" w:themeColor="text2" w:themeTint="E6"/>
        </w:rPr>
        <w:t xml:space="preserve">1. </w:t>
      </w:r>
      <w:r w:rsidRPr="0003481D">
        <w:rPr>
          <w:b/>
          <w:bCs/>
          <w:color w:val="153D63" w:themeColor="text2" w:themeTint="E6"/>
        </w:rPr>
        <w:t>Lignin content as the primary T</w:t>
      </w:r>
      <w:r w:rsidRPr="0003481D">
        <w:rPr>
          <w:b/>
          <w:bCs/>
          <w:color w:val="153D63" w:themeColor="text2" w:themeTint="E6"/>
          <w:vertAlign w:val="subscript"/>
        </w:rPr>
        <w:t>g</w:t>
      </w:r>
      <w:r w:rsidRPr="0003481D">
        <w:rPr>
          <w:b/>
          <w:bCs/>
          <w:color w:val="153D63" w:themeColor="text2" w:themeTint="E6"/>
        </w:rPr>
        <w:t xml:space="preserve"> lever:</w:t>
      </w:r>
      <w:r w:rsidRPr="00334018">
        <w:rPr>
          <w:color w:val="153D63" w:themeColor="text2" w:themeTint="E6"/>
        </w:rPr>
        <w:t xml:space="preserve"> The mapping analysis (Figure 8A) reveals that the optimal processing window for maximum T</w:t>
      </w:r>
      <w:r w:rsidRPr="00334018">
        <w:rPr>
          <w:color w:val="153D63" w:themeColor="text2" w:themeTint="E6"/>
          <w:vertAlign w:val="subscript"/>
        </w:rPr>
        <w:t>g</w:t>
      </w:r>
      <w:r w:rsidRPr="00334018">
        <w:rPr>
          <w:color w:val="153D63" w:themeColor="text2" w:themeTint="E6"/>
        </w:rPr>
        <w:t xml:space="preserve"> enhancement lies between 30–50 </w:t>
      </w:r>
      <w:proofErr w:type="spellStart"/>
      <w:r w:rsidRPr="00334018">
        <w:rPr>
          <w:color w:val="153D63" w:themeColor="text2" w:themeTint="E6"/>
        </w:rPr>
        <w:t>wt</w:t>
      </w:r>
      <w:proofErr w:type="spellEnd"/>
      <w:r w:rsidRPr="00334018">
        <w:rPr>
          <w:color w:val="153D63" w:themeColor="text2" w:themeTint="E6"/>
        </w:rPr>
        <w:t xml:space="preserve">% lignin, where the highest prediction density is centred at approximately 55–60 °C. Below 15 </w:t>
      </w:r>
      <w:proofErr w:type="spellStart"/>
      <w:r w:rsidRPr="00334018">
        <w:rPr>
          <w:color w:val="153D63" w:themeColor="text2" w:themeTint="E6"/>
        </w:rPr>
        <w:t>wt</w:t>
      </w:r>
      <w:proofErr w:type="spellEnd"/>
      <w:r w:rsidRPr="00334018">
        <w:rPr>
          <w:color w:val="153D63" w:themeColor="text2" w:themeTint="E6"/>
        </w:rPr>
        <w:t>%, the model predicts consistently low T</w:t>
      </w:r>
      <w:r w:rsidRPr="00334018">
        <w:rPr>
          <w:color w:val="153D63" w:themeColor="text2" w:themeTint="E6"/>
          <w:vertAlign w:val="subscript"/>
        </w:rPr>
        <w:t xml:space="preserve">g </w:t>
      </w:r>
      <w:r w:rsidRPr="00334018">
        <w:rPr>
          <w:color w:val="153D63" w:themeColor="text2" w:themeTint="E6"/>
        </w:rPr>
        <w:t xml:space="preserve">values (15–45 °C), while above 50 </w:t>
      </w:r>
      <w:proofErr w:type="spellStart"/>
      <w:r w:rsidRPr="00334018">
        <w:rPr>
          <w:color w:val="153D63" w:themeColor="text2" w:themeTint="E6"/>
        </w:rPr>
        <w:t>wt</w:t>
      </w:r>
      <w:proofErr w:type="spellEnd"/>
      <w:r w:rsidRPr="00334018">
        <w:rPr>
          <w:color w:val="153D63" w:themeColor="text2" w:themeTint="E6"/>
        </w:rPr>
        <w:t>%, T</w:t>
      </w:r>
      <w:r w:rsidRPr="00334018">
        <w:rPr>
          <w:color w:val="153D63" w:themeColor="text2" w:themeTint="E6"/>
          <w:vertAlign w:val="subscript"/>
        </w:rPr>
        <w:t>g</w:t>
      </w:r>
      <w:r w:rsidRPr="00334018">
        <w:rPr>
          <w:color w:val="153D63" w:themeColor="text2" w:themeTint="E6"/>
        </w:rPr>
        <w:t xml:space="preserve"> remains elevated but with declining prediction confidence. This provides a clear </w:t>
      </w:r>
      <w:r w:rsidRPr="00334018">
        <w:rPr>
          <w:color w:val="153D63" w:themeColor="text2" w:themeTint="E6"/>
        </w:rPr>
        <w:lastRenderedPageBreak/>
        <w:t>guideline: formulations targeting high- T</w:t>
      </w:r>
      <w:r w:rsidRPr="00334018">
        <w:rPr>
          <w:color w:val="153D63" w:themeColor="text2" w:themeTint="E6"/>
          <w:vertAlign w:val="subscript"/>
        </w:rPr>
        <w:t>g</w:t>
      </w:r>
      <w:r w:rsidRPr="00334018">
        <w:rPr>
          <w:color w:val="153D63" w:themeColor="text2" w:themeTint="E6"/>
        </w:rPr>
        <w:t xml:space="preserve"> applications should employ 30–50 </w:t>
      </w:r>
      <w:proofErr w:type="spellStart"/>
      <w:r w:rsidRPr="00334018">
        <w:rPr>
          <w:color w:val="153D63" w:themeColor="text2" w:themeTint="E6"/>
        </w:rPr>
        <w:t>wt</w:t>
      </w:r>
      <w:proofErr w:type="spellEnd"/>
      <w:r w:rsidRPr="00334018">
        <w:rPr>
          <w:color w:val="153D63" w:themeColor="text2" w:themeTint="E6"/>
        </w:rPr>
        <w:t>% lignin, where the aromatic units maximise crosslink density and π–π stacking interactions.</w:t>
      </w:r>
    </w:p>
    <w:p w14:paraId="1BFC5605" w14:textId="46399E2B" w:rsidR="007815B7" w:rsidRPr="00334018" w:rsidRDefault="007815B7" w:rsidP="007815B7">
      <w:pPr>
        <w:spacing w:line="276" w:lineRule="auto"/>
        <w:jc w:val="both"/>
        <w:rPr>
          <w:color w:val="153D63" w:themeColor="text2" w:themeTint="E6"/>
        </w:rPr>
      </w:pPr>
      <w:r w:rsidRPr="00334018">
        <w:rPr>
          <w:color w:val="153D63" w:themeColor="text2" w:themeTint="E6"/>
        </w:rPr>
        <w:t xml:space="preserve">2. </w:t>
      </w:r>
      <w:r w:rsidRPr="0003481D">
        <w:rPr>
          <w:b/>
          <w:bCs/>
          <w:color w:val="153D63" w:themeColor="text2" w:themeTint="E6"/>
        </w:rPr>
        <w:t>Co-polyol molecular weight selection for thermal tuning</w:t>
      </w:r>
      <w:r w:rsidRPr="00334018">
        <w:rPr>
          <w:color w:val="153D63" w:themeColor="text2" w:themeTint="E6"/>
        </w:rPr>
        <w:t>: The model captures a non-trivial dependence on PTHF molecular weight (Figure 8B). PTHF 650 produces a bimodal distribution with peak predictions at both 50–55 °C and 60–62 °C, making it the most versatile co-polyol for accessing a range of T</w:t>
      </w:r>
      <w:r w:rsidRPr="00334018">
        <w:rPr>
          <w:color w:val="153D63" w:themeColor="text2" w:themeTint="E6"/>
          <w:vertAlign w:val="subscript"/>
        </w:rPr>
        <w:t>g</w:t>
      </w:r>
      <w:r w:rsidRPr="00334018">
        <w:rPr>
          <w:color w:val="153D63" w:themeColor="text2" w:themeTint="E6"/>
        </w:rPr>
        <w:t xml:space="preserve"> targets. PTHF 1000 shifts the primary peak to 53–55 °C with a secondary region around 20 °C, while PTHF 250 centres predictions around 43–45 °C. This non-monotonic dependence guides co-polyol selection: PTHF 650 is recommended for formulations requiring flexibility in T</w:t>
      </w:r>
      <w:r w:rsidRPr="00334018">
        <w:rPr>
          <w:color w:val="153D63" w:themeColor="text2" w:themeTint="E6"/>
          <w:vertAlign w:val="subscript"/>
        </w:rPr>
        <w:t>g</w:t>
      </w:r>
      <w:r w:rsidRPr="00334018">
        <w:rPr>
          <w:color w:val="153D63" w:themeColor="text2" w:themeTint="E6"/>
        </w:rPr>
        <w:t xml:space="preserve"> targeting, while PTHF 250 or 1000 can be used when a narrower T</w:t>
      </w:r>
      <w:r w:rsidRPr="00334018">
        <w:rPr>
          <w:color w:val="153D63" w:themeColor="text2" w:themeTint="E6"/>
          <w:vertAlign w:val="subscript"/>
        </w:rPr>
        <w:t>g</w:t>
      </w:r>
      <w:r w:rsidRPr="00334018">
        <w:rPr>
          <w:color w:val="153D63" w:themeColor="text2" w:themeTint="E6"/>
        </w:rPr>
        <w:t xml:space="preserve"> window is acceptable.</w:t>
      </w:r>
    </w:p>
    <w:p w14:paraId="5C541FCC" w14:textId="3226DB63" w:rsidR="007815B7" w:rsidRPr="00334018" w:rsidRDefault="007815B7" w:rsidP="007815B7">
      <w:pPr>
        <w:spacing w:line="276" w:lineRule="auto"/>
        <w:jc w:val="both"/>
        <w:rPr>
          <w:color w:val="153D63" w:themeColor="text2" w:themeTint="E6"/>
        </w:rPr>
      </w:pPr>
      <w:r w:rsidRPr="00334018">
        <w:rPr>
          <w:color w:val="153D63" w:themeColor="text2" w:themeTint="E6"/>
        </w:rPr>
        <w:t xml:space="preserve">3. </w:t>
      </w:r>
      <w:r w:rsidRPr="0003481D">
        <w:rPr>
          <w:b/>
          <w:bCs/>
          <w:color w:val="153D63" w:themeColor="text2" w:themeTint="E6"/>
        </w:rPr>
        <w:t>Stoichiometric ratio as a threshold-sensitive parameter:</w:t>
      </w:r>
      <w:r w:rsidRPr="00334018">
        <w:rPr>
          <w:color w:val="153D63" w:themeColor="text2" w:themeTint="E6"/>
        </w:rPr>
        <w:t xml:space="preserve"> The mapping of Ratio [NCO]/[OH] (Figure 8C) shows that sub-stoichiometric to stoichiometric conditions (Ratio = 0.55–0.85) produce the highest and most confident </w:t>
      </w:r>
      <w:r w:rsidR="00334018" w:rsidRPr="00334018">
        <w:rPr>
          <w:color w:val="153D63" w:themeColor="text2" w:themeTint="E6"/>
        </w:rPr>
        <w:t>T</w:t>
      </w:r>
      <w:r w:rsidR="00334018" w:rsidRPr="00334018">
        <w:rPr>
          <w:color w:val="153D63" w:themeColor="text2" w:themeTint="E6"/>
          <w:vertAlign w:val="subscript"/>
        </w:rPr>
        <w:t>g</w:t>
      </w:r>
      <w:r w:rsidRPr="00334018">
        <w:rPr>
          <w:color w:val="153D63" w:themeColor="text2" w:themeTint="E6"/>
        </w:rPr>
        <w:t xml:space="preserve"> predictions (48–63 °C), whereas the super-stoichiometric regime (Ratio &gt; 1.0) leads to greater model uncertainty and lower </w:t>
      </w:r>
      <w:r w:rsidR="00334018" w:rsidRPr="00334018">
        <w:rPr>
          <w:color w:val="153D63" w:themeColor="text2" w:themeTint="E6"/>
        </w:rPr>
        <w:t>T</w:t>
      </w:r>
      <w:r w:rsidR="00334018" w:rsidRPr="00334018">
        <w:rPr>
          <w:color w:val="153D63" w:themeColor="text2" w:themeTint="E6"/>
          <w:vertAlign w:val="subscript"/>
        </w:rPr>
        <w:t>g</w:t>
      </w:r>
      <w:r w:rsidRPr="00334018">
        <w:rPr>
          <w:color w:val="153D63" w:themeColor="text2" w:themeTint="E6"/>
        </w:rPr>
        <w:t xml:space="preserve">. This indicates that excess hydroxyl groups contribute more favourably to network formation in lignin-based PU systems, and formulations should target Ratio values below 1.0 for maximum </w:t>
      </w:r>
      <w:r w:rsidR="00334018" w:rsidRPr="00334018">
        <w:rPr>
          <w:color w:val="153D63" w:themeColor="text2" w:themeTint="E6"/>
        </w:rPr>
        <w:t>T</w:t>
      </w:r>
      <w:r w:rsidR="00334018" w:rsidRPr="00334018">
        <w:rPr>
          <w:color w:val="153D63" w:themeColor="text2" w:themeTint="E6"/>
          <w:vertAlign w:val="subscript"/>
        </w:rPr>
        <w:t>g</w:t>
      </w:r>
      <w:r w:rsidRPr="00334018">
        <w:rPr>
          <w:color w:val="153D63" w:themeColor="text2" w:themeTint="E6"/>
        </w:rPr>
        <w:t>.</w:t>
      </w:r>
    </w:p>
    <w:p w14:paraId="26FEE3FC" w14:textId="20DCB5D7" w:rsidR="007815B7" w:rsidRPr="00334018" w:rsidRDefault="007815B7" w:rsidP="007815B7">
      <w:pPr>
        <w:spacing w:line="276" w:lineRule="auto"/>
        <w:jc w:val="both"/>
        <w:rPr>
          <w:color w:val="153D63" w:themeColor="text2" w:themeTint="E6"/>
        </w:rPr>
      </w:pPr>
      <w:r w:rsidRPr="00334018">
        <w:rPr>
          <w:color w:val="153D63" w:themeColor="text2" w:themeTint="E6"/>
        </w:rPr>
        <w:t xml:space="preserve">4. </w:t>
      </w:r>
      <w:r w:rsidRPr="0003481D">
        <w:rPr>
          <w:b/>
          <w:bCs/>
          <w:color w:val="153D63" w:themeColor="text2" w:themeTint="E6"/>
        </w:rPr>
        <w:t>Co-polyol content and the U-shaped dependence:</w:t>
      </w:r>
      <w:r w:rsidRPr="00334018">
        <w:rPr>
          <w:color w:val="153D63" w:themeColor="text2" w:themeTint="E6"/>
        </w:rPr>
        <w:t xml:space="preserve"> The model reveals a pronounced non-monotonic relationship (Figure 8E), where </w:t>
      </w:r>
      <w:r w:rsidR="00334018" w:rsidRPr="00334018">
        <w:rPr>
          <w:color w:val="153D63" w:themeColor="text2" w:themeTint="E6"/>
        </w:rPr>
        <w:t>T</w:t>
      </w:r>
      <w:r w:rsidR="00334018" w:rsidRPr="00334018">
        <w:rPr>
          <w:color w:val="153D63" w:themeColor="text2" w:themeTint="E6"/>
          <w:vertAlign w:val="subscript"/>
        </w:rPr>
        <w:t>g</w:t>
      </w:r>
      <w:r w:rsidRPr="00334018">
        <w:rPr>
          <w:color w:val="153D63" w:themeColor="text2" w:themeTint="E6"/>
        </w:rPr>
        <w:t xml:space="preserve"> is depressed at intermediate co-polyol concentrations (~25–35 </w:t>
      </w:r>
      <w:proofErr w:type="spellStart"/>
      <w:r w:rsidRPr="00334018">
        <w:rPr>
          <w:color w:val="153D63" w:themeColor="text2" w:themeTint="E6"/>
        </w:rPr>
        <w:t>wt</w:t>
      </w:r>
      <w:proofErr w:type="spellEnd"/>
      <w:r w:rsidRPr="00334018">
        <w:rPr>
          <w:color w:val="153D63" w:themeColor="text2" w:themeTint="E6"/>
        </w:rPr>
        <w:t xml:space="preserve">%) due to soft-segment dilution, but recovers at higher contents (~60–70 </w:t>
      </w:r>
      <w:proofErr w:type="spellStart"/>
      <w:r w:rsidRPr="00334018">
        <w:rPr>
          <w:color w:val="153D63" w:themeColor="text2" w:themeTint="E6"/>
        </w:rPr>
        <w:t>wt</w:t>
      </w:r>
      <w:proofErr w:type="spellEnd"/>
      <w:r w:rsidRPr="00334018">
        <w:rPr>
          <w:color w:val="153D63" w:themeColor="text2" w:themeTint="E6"/>
        </w:rPr>
        <w:t xml:space="preserve">%) due to increased chain entanglement density. This U-shaped behaviour provides a practical guideline: formulators should either minimise co-polyol content (favouring rigid lignin-rich networks) or increase it substantially above 50 </w:t>
      </w:r>
      <w:proofErr w:type="spellStart"/>
      <w:r w:rsidRPr="00334018">
        <w:rPr>
          <w:color w:val="153D63" w:themeColor="text2" w:themeTint="E6"/>
        </w:rPr>
        <w:t>wt</w:t>
      </w:r>
      <w:proofErr w:type="spellEnd"/>
      <w:r w:rsidRPr="00334018">
        <w:rPr>
          <w:color w:val="153D63" w:themeColor="text2" w:themeTint="E6"/>
        </w:rPr>
        <w:t>% (where entanglement effects restore thermal performance), while avoiding the intermediate range that minimises Tg.</w:t>
      </w:r>
    </w:p>
    <w:p w14:paraId="23E0DA6E" w14:textId="2A546331" w:rsidR="007815B7" w:rsidRPr="00334018" w:rsidRDefault="007815B7" w:rsidP="007815B7">
      <w:pPr>
        <w:spacing w:line="276" w:lineRule="auto"/>
        <w:jc w:val="both"/>
        <w:rPr>
          <w:color w:val="153D63" w:themeColor="text2" w:themeTint="E6"/>
        </w:rPr>
      </w:pPr>
      <w:r w:rsidRPr="00334018">
        <w:rPr>
          <w:color w:val="153D63" w:themeColor="text2" w:themeTint="E6"/>
        </w:rPr>
        <w:t>These design principles, derived directly from the model's systematic exploration of over 4 million formulation combinations, are summarised in the revised manuscript alongside the mapping discussion. Together with the user-friendly parallel coordinates interface (Section 3.7, Figure 10), they provide chemists with an actionable framework for rational formulation design without requiring direct interaction with the underlying ML model.</w:t>
      </w:r>
    </w:p>
    <w:p w14:paraId="08D4D9E6" w14:textId="7C940F78" w:rsidR="00BF12F0" w:rsidRPr="00BF12F0" w:rsidRDefault="00BF12F0" w:rsidP="00BF12F0">
      <w:pPr>
        <w:spacing w:line="276" w:lineRule="auto"/>
        <w:jc w:val="both"/>
        <w:rPr>
          <w:b/>
          <w:bCs/>
          <w:color w:val="000000" w:themeColor="text1"/>
          <w:lang w:val="x-none"/>
        </w:rPr>
      </w:pPr>
      <w:r w:rsidRPr="001D7158">
        <w:rPr>
          <w:b/>
          <w:bCs/>
          <w:color w:val="000000" w:themeColor="text1"/>
          <w:lang w:val="x-none"/>
        </w:rPr>
        <w:t>Comment 5</w:t>
      </w:r>
    </w:p>
    <w:p w14:paraId="5200AA36" w14:textId="2F4B7016" w:rsidR="00BF12F0" w:rsidRDefault="00BF12F0" w:rsidP="00685454">
      <w:pPr>
        <w:spacing w:line="276" w:lineRule="auto"/>
        <w:jc w:val="both"/>
        <w:rPr>
          <w:color w:val="000000" w:themeColor="text1"/>
        </w:rPr>
      </w:pPr>
      <w:r w:rsidRPr="00BF12F0">
        <w:rPr>
          <w:color w:val="000000" w:themeColor="text1"/>
        </w:rPr>
        <w:t>"</w:t>
      </w:r>
      <w:r w:rsidRPr="00BF12F0">
        <w:rPr>
          <w:color w:val="000000" w:themeColor="text1"/>
          <w:lang w:val="en-US"/>
        </w:rPr>
        <w:t>The interpretation of the model results should be more deeply connected to established polymer physics theories. It is recommended to explicitly discuss how the key predictive features identified by the model correlate with fundamental concepts such as crosslink density, chain mobility, and free volume theory to explain their influence on the glass transition temperature.</w:t>
      </w:r>
      <w:r w:rsidRPr="00BF12F0">
        <w:rPr>
          <w:color w:val="000000" w:themeColor="text1"/>
        </w:rPr>
        <w:t xml:space="preserve"> "</w:t>
      </w:r>
    </w:p>
    <w:p w14:paraId="4052F04B" w14:textId="1F546A01" w:rsidR="00873272" w:rsidRPr="001D7158" w:rsidRDefault="00873272" w:rsidP="00685454">
      <w:pPr>
        <w:spacing w:line="276" w:lineRule="auto"/>
        <w:jc w:val="both"/>
        <w:rPr>
          <w:b/>
          <w:bCs/>
          <w:color w:val="153D63" w:themeColor="text2" w:themeTint="E6"/>
        </w:rPr>
      </w:pPr>
      <w:r w:rsidRPr="001D7158">
        <w:rPr>
          <w:b/>
          <w:bCs/>
          <w:color w:val="153D63" w:themeColor="text2" w:themeTint="E6"/>
        </w:rPr>
        <w:t>Response</w:t>
      </w:r>
      <w:r w:rsidR="001D7158">
        <w:rPr>
          <w:b/>
          <w:bCs/>
          <w:color w:val="153D63" w:themeColor="text2" w:themeTint="E6"/>
        </w:rPr>
        <w:t>:</w:t>
      </w:r>
    </w:p>
    <w:p w14:paraId="7F577E0F" w14:textId="77777777" w:rsidR="00873272" w:rsidRPr="00873272" w:rsidRDefault="00873272" w:rsidP="00873272">
      <w:pPr>
        <w:spacing w:line="276" w:lineRule="auto"/>
        <w:jc w:val="both"/>
        <w:rPr>
          <w:color w:val="153D63" w:themeColor="text2" w:themeTint="E6"/>
          <w:lang w:val="x-none"/>
        </w:rPr>
      </w:pPr>
      <w:r w:rsidRPr="00873272">
        <w:rPr>
          <w:color w:val="153D63" w:themeColor="text2" w:themeTint="E6"/>
          <w:lang w:val="x-none"/>
        </w:rPr>
        <w:lastRenderedPageBreak/>
        <w:t>We thank the reviewer for this valuable suggestion. We agree that connecting the model’s predictive features to established polymer</w:t>
      </w:r>
      <w:r w:rsidRPr="00873272">
        <w:rPr>
          <w:color w:val="153D63" w:themeColor="text2" w:themeTint="E6"/>
          <w:lang w:val="x-none"/>
        </w:rPr>
        <w:noBreakHyphen/>
        <w:t>physics concepts strengthens the scientific interpretation. In this study, we also performed DMA measurements for all PU formulations across a wide temperature range (−150</w:t>
      </w:r>
      <w:r w:rsidRPr="00873272">
        <w:rPr>
          <w:rFonts w:ascii="Arial" w:hAnsi="Arial" w:cs="Arial"/>
          <w:color w:val="153D63" w:themeColor="text2" w:themeTint="E6"/>
          <w:lang w:val="x-none"/>
        </w:rPr>
        <w:t> </w:t>
      </w:r>
      <w:r w:rsidRPr="00873272">
        <w:rPr>
          <w:rFonts w:ascii="Aptos" w:hAnsi="Aptos" w:cs="Aptos"/>
          <w:color w:val="153D63" w:themeColor="text2" w:themeTint="E6"/>
          <w:lang w:val="x-none"/>
        </w:rPr>
        <w:t>°</w:t>
      </w:r>
      <w:r w:rsidRPr="00873272">
        <w:rPr>
          <w:color w:val="153D63" w:themeColor="text2" w:themeTint="E6"/>
          <w:lang w:val="x-none"/>
        </w:rPr>
        <w:t>C to 200</w:t>
      </w:r>
      <w:r w:rsidRPr="00873272">
        <w:rPr>
          <w:rFonts w:ascii="Arial" w:hAnsi="Arial" w:cs="Arial"/>
          <w:color w:val="153D63" w:themeColor="text2" w:themeTint="E6"/>
          <w:lang w:val="x-none"/>
        </w:rPr>
        <w:t> </w:t>
      </w:r>
      <w:r w:rsidRPr="00873272">
        <w:rPr>
          <w:rFonts w:ascii="Aptos" w:hAnsi="Aptos" w:cs="Aptos"/>
          <w:color w:val="153D63" w:themeColor="text2" w:themeTint="E6"/>
          <w:lang w:val="x-none"/>
        </w:rPr>
        <w:t>°</w:t>
      </w:r>
      <w:r w:rsidRPr="00873272">
        <w:rPr>
          <w:color w:val="153D63" w:themeColor="text2" w:themeTint="E6"/>
          <w:lang w:val="x-none"/>
        </w:rPr>
        <w:t>C). However, due to the extremely broad formulation space explored, the viscoelastic profiles varied substantially between samples. Many formulations exhibited multiple tan</w:t>
      </w:r>
      <w:r w:rsidRPr="00873272">
        <w:rPr>
          <w:rFonts w:ascii="Arial" w:hAnsi="Arial" w:cs="Arial"/>
          <w:color w:val="153D63" w:themeColor="text2" w:themeTint="E6"/>
          <w:lang w:val="x-none"/>
        </w:rPr>
        <w:t> </w:t>
      </w:r>
      <w:r w:rsidRPr="00873272">
        <w:rPr>
          <w:rFonts w:ascii="Aptos" w:hAnsi="Aptos" w:cs="Aptos"/>
          <w:color w:val="153D63" w:themeColor="text2" w:themeTint="E6"/>
          <w:lang w:val="x-none"/>
        </w:rPr>
        <w:t>δ</w:t>
      </w:r>
      <w:r w:rsidRPr="00873272">
        <w:rPr>
          <w:color w:val="153D63" w:themeColor="text2" w:themeTint="E6"/>
          <w:lang w:val="x-none"/>
        </w:rPr>
        <w:t xml:space="preserve"> relaxations associated with different network domains, and the diversity in soft</w:t>
      </w:r>
      <w:r w:rsidRPr="00873272">
        <w:rPr>
          <w:color w:val="153D63" w:themeColor="text2" w:themeTint="E6"/>
          <w:lang w:val="x-none"/>
        </w:rPr>
        <w:noBreakHyphen/>
        <w:t>segment content made it impractical to define a single, physically meaningful reference temperature (e.g., Tg</w:t>
      </w:r>
      <w:r w:rsidRPr="00873272">
        <w:rPr>
          <w:rFonts w:ascii="Arial" w:hAnsi="Arial" w:cs="Arial"/>
          <w:color w:val="153D63" w:themeColor="text2" w:themeTint="E6"/>
          <w:lang w:val="x-none"/>
        </w:rPr>
        <w:t> </w:t>
      </w:r>
      <w:r w:rsidRPr="00873272">
        <w:rPr>
          <w:color w:val="153D63" w:themeColor="text2" w:themeTint="E6"/>
          <w:lang w:val="x-none"/>
        </w:rPr>
        <w:t>+</w:t>
      </w:r>
      <w:r w:rsidRPr="00873272">
        <w:rPr>
          <w:rFonts w:ascii="Arial" w:hAnsi="Arial" w:cs="Arial"/>
          <w:color w:val="153D63" w:themeColor="text2" w:themeTint="E6"/>
          <w:lang w:val="x-none"/>
        </w:rPr>
        <w:t> </w:t>
      </w:r>
      <w:r w:rsidRPr="00873272">
        <w:rPr>
          <w:color w:val="153D63" w:themeColor="text2" w:themeTint="E6"/>
          <w:lang w:val="x-none"/>
        </w:rPr>
        <w:t>20</w:t>
      </w:r>
      <w:r w:rsidRPr="00873272">
        <w:rPr>
          <w:rFonts w:ascii="Arial" w:hAnsi="Arial" w:cs="Arial"/>
          <w:color w:val="153D63" w:themeColor="text2" w:themeTint="E6"/>
          <w:lang w:val="x-none"/>
        </w:rPr>
        <w:t> </w:t>
      </w:r>
      <w:r w:rsidRPr="00873272">
        <w:rPr>
          <w:rFonts w:ascii="Aptos" w:hAnsi="Aptos" w:cs="Aptos"/>
          <w:color w:val="153D63" w:themeColor="text2" w:themeTint="E6"/>
          <w:lang w:val="x-none"/>
        </w:rPr>
        <w:t>°</w:t>
      </w:r>
      <w:r w:rsidRPr="00873272">
        <w:rPr>
          <w:color w:val="153D63" w:themeColor="text2" w:themeTint="E6"/>
          <w:lang w:val="x-none"/>
        </w:rPr>
        <w:t>C) for estimating absolute or relative crosslink density across all samples. For highly elastomeric formulations, temperatures above 150</w:t>
      </w:r>
      <w:r w:rsidRPr="00873272">
        <w:rPr>
          <w:rFonts w:ascii="Aptos" w:hAnsi="Aptos" w:cs="Aptos"/>
          <w:color w:val="153D63" w:themeColor="text2" w:themeTint="E6"/>
          <w:lang w:val="x-none"/>
        </w:rPr>
        <w:t>–</w:t>
      </w:r>
      <w:r w:rsidRPr="00873272">
        <w:rPr>
          <w:color w:val="153D63" w:themeColor="text2" w:themeTint="E6"/>
          <w:lang w:val="x-none"/>
        </w:rPr>
        <w:t>180</w:t>
      </w:r>
      <w:r w:rsidRPr="00873272">
        <w:rPr>
          <w:rFonts w:ascii="Arial" w:hAnsi="Arial" w:cs="Arial"/>
          <w:color w:val="153D63" w:themeColor="text2" w:themeTint="E6"/>
          <w:lang w:val="x-none"/>
        </w:rPr>
        <w:t> </w:t>
      </w:r>
      <w:r w:rsidRPr="00873272">
        <w:rPr>
          <w:rFonts w:ascii="Aptos" w:hAnsi="Aptos" w:cs="Aptos"/>
          <w:color w:val="153D63" w:themeColor="text2" w:themeTint="E6"/>
          <w:lang w:val="x-none"/>
        </w:rPr>
        <w:t>°</w:t>
      </w:r>
      <w:r w:rsidRPr="00873272">
        <w:rPr>
          <w:color w:val="153D63" w:themeColor="text2" w:themeTint="E6"/>
          <w:lang w:val="x-none"/>
        </w:rPr>
        <w:t>C are not representative of their operational regime, while more rigid formulations show overlapping relaxations that complicate quantitative extraction of network parameters.</w:t>
      </w:r>
    </w:p>
    <w:p w14:paraId="5A8C135D" w14:textId="77777777" w:rsidR="00873272" w:rsidRDefault="00873272" w:rsidP="00873272">
      <w:pPr>
        <w:spacing w:line="276" w:lineRule="auto"/>
        <w:jc w:val="both"/>
        <w:rPr>
          <w:color w:val="153D63" w:themeColor="text2" w:themeTint="E6"/>
          <w:lang w:val="x-none"/>
        </w:rPr>
      </w:pPr>
      <w:r w:rsidRPr="00873272">
        <w:rPr>
          <w:color w:val="153D63" w:themeColor="text2" w:themeTint="E6"/>
          <w:lang w:val="x-none"/>
        </w:rPr>
        <w:t>For these reasons, and to ensure consistent comparison across the entire dataset, we used swelling ratio as an experimentally accessible and formulation</w:t>
      </w:r>
      <w:r w:rsidRPr="00873272">
        <w:rPr>
          <w:color w:val="153D63" w:themeColor="text2" w:themeTint="E6"/>
          <w:lang w:val="x-none"/>
        </w:rPr>
        <w:noBreakHyphen/>
        <w:t xml:space="preserve">agnostic proxy for network tightness. Swelling </w:t>
      </w:r>
      <w:proofErr w:type="spellStart"/>
      <w:r w:rsidRPr="00873272">
        <w:rPr>
          <w:color w:val="153D63" w:themeColor="text2" w:themeTint="E6"/>
          <w:lang w:val="x-none"/>
        </w:rPr>
        <w:t>behavior</w:t>
      </w:r>
      <w:proofErr w:type="spellEnd"/>
      <w:r w:rsidRPr="00873272">
        <w:rPr>
          <w:color w:val="153D63" w:themeColor="text2" w:themeTint="E6"/>
          <w:lang w:val="x-none"/>
        </w:rPr>
        <w:t xml:space="preserve"> is widely recognized to correlate with effective crosslink density and segmental mobility, and unlike DMA</w:t>
      </w:r>
      <w:r w:rsidRPr="00873272">
        <w:rPr>
          <w:color w:val="153D63" w:themeColor="text2" w:themeTint="E6"/>
          <w:lang w:val="x-none"/>
        </w:rPr>
        <w:noBreakHyphen/>
        <w:t>based crosslink calculations, it can be applied uniformly to all formulations regardless of their viscoelastic complexity. This allowed us to incorporate a physically meaningful descriptor related to network structure while maintaining methodological consistency.</w:t>
      </w:r>
    </w:p>
    <w:p w14:paraId="5D715AC6" w14:textId="15DDC462" w:rsidR="003D350E" w:rsidRPr="00873272" w:rsidRDefault="003D350E" w:rsidP="00873272">
      <w:pPr>
        <w:spacing w:line="276" w:lineRule="auto"/>
        <w:jc w:val="both"/>
        <w:rPr>
          <w:color w:val="153D63" w:themeColor="text2" w:themeTint="E6"/>
          <w:lang w:val="x-none"/>
        </w:rPr>
      </w:pPr>
      <w:r>
        <w:rPr>
          <w:color w:val="153D63" w:themeColor="text2" w:themeTint="E6"/>
          <w:lang w:val="x-none"/>
        </w:rPr>
        <w:t xml:space="preserve">This information has now been discussed more thoroughly at the end of </w:t>
      </w:r>
      <w:r w:rsidR="0003481D">
        <w:rPr>
          <w:color w:val="153D63" w:themeColor="text2" w:themeTint="E6"/>
          <w:lang w:val="x-none"/>
        </w:rPr>
        <w:t>S</w:t>
      </w:r>
      <w:r>
        <w:rPr>
          <w:color w:val="153D63" w:themeColor="text2" w:themeTint="E6"/>
          <w:lang w:val="x-none"/>
        </w:rPr>
        <w:t xml:space="preserve">ection 3.5 of the revised manuscript. </w:t>
      </w:r>
    </w:p>
    <w:p w14:paraId="49D8F698" w14:textId="77777777" w:rsidR="006A2784" w:rsidRPr="001D7158" w:rsidRDefault="006A2784" w:rsidP="006A2784">
      <w:pPr>
        <w:spacing w:line="276" w:lineRule="auto"/>
        <w:jc w:val="both"/>
        <w:rPr>
          <w:b/>
          <w:bCs/>
        </w:rPr>
      </w:pPr>
      <w:r w:rsidRPr="001D7158">
        <w:rPr>
          <w:b/>
          <w:bCs/>
        </w:rPr>
        <w:t xml:space="preserve">Comment 6 </w:t>
      </w:r>
    </w:p>
    <w:p w14:paraId="1ECF9901" w14:textId="7BF4386F" w:rsidR="006A2784" w:rsidRDefault="006A2784" w:rsidP="006A2784">
      <w:pPr>
        <w:spacing w:line="276" w:lineRule="auto"/>
        <w:jc w:val="both"/>
      </w:pPr>
      <w:r>
        <w:t>"The manuscript incorporates the "swelling ratio" as one of the input features and highlights its importance. However, the swelling ratio is a post-synthesis material property characterization, not a formulation parameter. In practical applications, predicting the Tg value of a new formulation would synthesize the material firstly, which appears to contradict the intended "predict-then-design" workflow.</w:t>
      </w:r>
      <w:r w:rsidRPr="006A2784">
        <w:t xml:space="preserve"> </w:t>
      </w:r>
      <w:r>
        <w:t>"</w:t>
      </w:r>
    </w:p>
    <w:p w14:paraId="2D6BA40F" w14:textId="32CAF44C" w:rsidR="006A2784" w:rsidRPr="006A2784" w:rsidRDefault="006A2784" w:rsidP="006A2784">
      <w:pPr>
        <w:spacing w:line="276" w:lineRule="auto"/>
        <w:jc w:val="both"/>
        <w:rPr>
          <w:b/>
          <w:bCs/>
          <w:color w:val="153D63" w:themeColor="text2" w:themeTint="E6"/>
        </w:rPr>
      </w:pPr>
      <w:r>
        <w:rPr>
          <w:b/>
          <w:bCs/>
          <w:color w:val="153D63" w:themeColor="text2" w:themeTint="E6"/>
        </w:rPr>
        <w:t>Response:</w:t>
      </w:r>
    </w:p>
    <w:p w14:paraId="2576F980" w14:textId="0EDC1DB0" w:rsidR="006A2784" w:rsidRDefault="006A2784" w:rsidP="006A2784">
      <w:pPr>
        <w:spacing w:line="276" w:lineRule="auto"/>
        <w:jc w:val="both"/>
      </w:pPr>
      <w:r w:rsidRPr="005A500C">
        <w:rPr>
          <w:color w:val="153D63" w:themeColor="text2" w:themeTint="E6"/>
        </w:rPr>
        <w:t>We appreciate this concern</w:t>
      </w:r>
      <w:r>
        <w:rPr>
          <w:color w:val="153D63" w:themeColor="text2" w:themeTint="E6"/>
        </w:rPr>
        <w:t xml:space="preserve">. We would like to direct the reviewer to Comment 2 of Reviewer # 2 where we have detailed specifically a similar concern. </w:t>
      </w:r>
    </w:p>
    <w:p w14:paraId="3A2ED230" w14:textId="77777777" w:rsidR="006A2784" w:rsidRDefault="006A2784" w:rsidP="006A2784">
      <w:pPr>
        <w:spacing w:line="276" w:lineRule="auto"/>
        <w:jc w:val="both"/>
      </w:pPr>
    </w:p>
    <w:p w14:paraId="188A4C1F" w14:textId="77777777" w:rsidR="006A2784" w:rsidRPr="001D7158" w:rsidRDefault="006A2784" w:rsidP="006A2784">
      <w:pPr>
        <w:spacing w:line="276" w:lineRule="auto"/>
        <w:jc w:val="both"/>
        <w:rPr>
          <w:b/>
          <w:bCs/>
        </w:rPr>
      </w:pPr>
      <w:r w:rsidRPr="001D7158">
        <w:rPr>
          <w:b/>
          <w:bCs/>
        </w:rPr>
        <w:t>Comment 7</w:t>
      </w:r>
    </w:p>
    <w:p w14:paraId="1D2D829F" w14:textId="2B0EB6B5" w:rsidR="006A2784" w:rsidRDefault="006A2784" w:rsidP="006A2784">
      <w:pPr>
        <w:spacing w:line="276" w:lineRule="auto"/>
        <w:jc w:val="both"/>
      </w:pPr>
      <w:r>
        <w:t>"Several minor issues require revision:</w:t>
      </w:r>
    </w:p>
    <w:p w14:paraId="75F8DDA2" w14:textId="0386F97D" w:rsidR="006A2784" w:rsidRDefault="006A2784" w:rsidP="006A2784">
      <w:pPr>
        <w:pStyle w:val="ListParagraph"/>
        <w:numPr>
          <w:ilvl w:val="0"/>
          <w:numId w:val="2"/>
        </w:numPr>
        <w:spacing w:line="276" w:lineRule="auto"/>
        <w:jc w:val="both"/>
      </w:pPr>
      <w:r>
        <w:t>Terminological consistency: Co-polyol type or Co-polyol Type, Lignin-based polyurethanes or lignin PU, lignin-</w:t>
      </w:r>
      <w:proofErr w:type="spellStart"/>
      <w:r>
        <w:t>PUs</w:t>
      </w:r>
      <w:proofErr w:type="spellEnd"/>
      <w:r>
        <w:t>, not just these.</w:t>
      </w:r>
    </w:p>
    <w:p w14:paraId="3F0C01E2" w14:textId="371D3016" w:rsidR="00357DEA" w:rsidRDefault="006A2784" w:rsidP="006A2784">
      <w:pPr>
        <w:pStyle w:val="ListParagraph"/>
        <w:numPr>
          <w:ilvl w:val="0"/>
          <w:numId w:val="2"/>
        </w:numPr>
        <w:spacing w:line="276" w:lineRule="auto"/>
        <w:jc w:val="both"/>
      </w:pPr>
      <w:r>
        <w:t>Improving the clarity of the Figures. "</w:t>
      </w:r>
    </w:p>
    <w:p w14:paraId="4BEE5330" w14:textId="3461125F" w:rsidR="006A2784" w:rsidRPr="006A2784" w:rsidRDefault="006A2784" w:rsidP="006A2784">
      <w:pPr>
        <w:spacing w:line="276" w:lineRule="auto"/>
        <w:jc w:val="both"/>
        <w:rPr>
          <w:b/>
          <w:bCs/>
          <w:color w:val="153D63" w:themeColor="text2" w:themeTint="E6"/>
        </w:rPr>
      </w:pPr>
      <w:r w:rsidRPr="006A2784">
        <w:rPr>
          <w:b/>
          <w:bCs/>
          <w:color w:val="153D63" w:themeColor="text2" w:themeTint="E6"/>
        </w:rPr>
        <w:lastRenderedPageBreak/>
        <w:t>Response:</w:t>
      </w:r>
    </w:p>
    <w:p w14:paraId="58CE9EF9" w14:textId="2F0AC9D9" w:rsidR="006A2784" w:rsidRPr="006A2784" w:rsidRDefault="006A2784" w:rsidP="006A2784">
      <w:pPr>
        <w:spacing w:line="276" w:lineRule="auto"/>
        <w:jc w:val="both"/>
        <w:rPr>
          <w:color w:val="153D63" w:themeColor="text2" w:themeTint="E6"/>
        </w:rPr>
      </w:pPr>
      <w:r w:rsidRPr="006A2784">
        <w:rPr>
          <w:color w:val="153D63" w:themeColor="text2" w:themeTint="E6"/>
        </w:rPr>
        <w:t xml:space="preserve">We thank the reviewer for bringing this out. This feedback was very valuable, and we have addressed it throughout the manuscript and in the newly created figures. We hope to have raised to the audience expectation. If any further adjustment </w:t>
      </w:r>
      <w:proofErr w:type="gramStart"/>
      <w:r w:rsidRPr="006A2784">
        <w:rPr>
          <w:color w:val="153D63" w:themeColor="text2" w:themeTint="E6"/>
        </w:rPr>
        <w:t>are</w:t>
      </w:r>
      <w:proofErr w:type="gramEnd"/>
      <w:r w:rsidRPr="006A2784">
        <w:rPr>
          <w:color w:val="153D63" w:themeColor="text2" w:themeTint="E6"/>
        </w:rPr>
        <w:t xml:space="preserve"> needed, we can revise as necessary. </w:t>
      </w:r>
    </w:p>
    <w:p w14:paraId="4AB10368" w14:textId="77777777" w:rsidR="00357DEA" w:rsidRDefault="00357DEA" w:rsidP="00357DEA">
      <w:pPr>
        <w:spacing w:line="276" w:lineRule="auto"/>
        <w:jc w:val="both"/>
      </w:pPr>
    </w:p>
    <w:p w14:paraId="03DC917D" w14:textId="27C06480" w:rsidR="00357DEA" w:rsidRPr="001D7158" w:rsidRDefault="00357DEA" w:rsidP="00357DEA">
      <w:pPr>
        <w:spacing w:line="276" w:lineRule="auto"/>
        <w:jc w:val="both"/>
        <w:rPr>
          <w:b/>
          <w:bCs/>
          <w:sz w:val="28"/>
          <w:szCs w:val="28"/>
        </w:rPr>
      </w:pPr>
      <w:r w:rsidRPr="001D7158">
        <w:rPr>
          <w:b/>
          <w:bCs/>
          <w:sz w:val="28"/>
          <w:szCs w:val="28"/>
        </w:rPr>
        <w:t>Reviewer #5</w:t>
      </w:r>
    </w:p>
    <w:p w14:paraId="2EE09CDC" w14:textId="117F3713" w:rsidR="00357DEA" w:rsidRPr="001D7158" w:rsidRDefault="00357DEA" w:rsidP="00357DEA">
      <w:pPr>
        <w:spacing w:line="276" w:lineRule="auto"/>
        <w:jc w:val="both"/>
        <w:rPr>
          <w:b/>
          <w:bCs/>
        </w:rPr>
      </w:pPr>
      <w:r w:rsidRPr="001D7158">
        <w:rPr>
          <w:b/>
          <w:bCs/>
        </w:rPr>
        <w:t xml:space="preserve">Comment 1 </w:t>
      </w:r>
    </w:p>
    <w:p w14:paraId="4E022C03" w14:textId="088D372C" w:rsidR="00357DEA" w:rsidRDefault="00357DEA" w:rsidP="00357DEA">
      <w:pPr>
        <w:spacing w:line="276" w:lineRule="auto"/>
        <w:jc w:val="both"/>
      </w:pPr>
      <w:r>
        <w:t>"The authors report a 'training' error instead of a 'test' error. Hyperparameters were optimized using the whole dataset (via 5-fold CV) and then the ensemble model was optimized again using the whole dataset... Authors should apply a nested CV approach (e.g., 5-fold CV is performed inside the training folds of the main 5-fold CV) to check the test error and generalizability of the model."</w:t>
      </w:r>
    </w:p>
    <w:p w14:paraId="1519342C" w14:textId="317BB132" w:rsidR="00357DEA" w:rsidRPr="00905C24" w:rsidRDefault="00357DEA" w:rsidP="00357DEA">
      <w:pPr>
        <w:spacing w:line="276" w:lineRule="auto"/>
        <w:jc w:val="both"/>
        <w:rPr>
          <w:b/>
          <w:bCs/>
          <w:color w:val="153D63" w:themeColor="text2" w:themeTint="E6"/>
        </w:rPr>
      </w:pPr>
      <w:r w:rsidRPr="00905C24">
        <w:rPr>
          <w:b/>
          <w:bCs/>
          <w:color w:val="153D63" w:themeColor="text2" w:themeTint="E6"/>
        </w:rPr>
        <w:t>Response:</w:t>
      </w:r>
    </w:p>
    <w:p w14:paraId="4836BF1B" w14:textId="77777777" w:rsidR="00357DEA" w:rsidRPr="00905C24" w:rsidRDefault="00357DEA" w:rsidP="00357DEA">
      <w:pPr>
        <w:spacing w:line="276" w:lineRule="auto"/>
        <w:jc w:val="both"/>
        <w:rPr>
          <w:color w:val="153D63" w:themeColor="text2" w:themeTint="E6"/>
        </w:rPr>
      </w:pPr>
      <w:r w:rsidRPr="00905C24">
        <w:rPr>
          <w:color w:val="153D63" w:themeColor="text2" w:themeTint="E6"/>
        </w:rPr>
        <w:t xml:space="preserve">We thank the reviewer for this detailed critique. The reviewer's description of the original manuscript's workflow is accurate: in the original version, hyperparameters were optimised using </w:t>
      </w:r>
      <w:proofErr w:type="spellStart"/>
      <w:r w:rsidRPr="00905C24">
        <w:rPr>
          <w:color w:val="153D63" w:themeColor="text2" w:themeTint="E6"/>
        </w:rPr>
        <w:t>RepeatedKFold</w:t>
      </w:r>
      <w:proofErr w:type="spellEnd"/>
      <w:r w:rsidRPr="00905C24">
        <w:rPr>
          <w:color w:val="153D63" w:themeColor="text2" w:themeTint="E6"/>
        </w:rPr>
        <w:t xml:space="preserve"> cross-validation, meta-features were generated from full-dataset predictions, and the final model was evaluated on the same data—effectively reporting training error rather than a true test error. The resulting MAE of 6.66 °C and R² of 0.99 were indeed overly optimistic.</w:t>
      </w:r>
    </w:p>
    <w:p w14:paraId="115CEFF3" w14:textId="77777777" w:rsidR="00357DEA" w:rsidRPr="00905C24" w:rsidRDefault="00357DEA" w:rsidP="00357DEA">
      <w:pPr>
        <w:spacing w:line="276" w:lineRule="auto"/>
        <w:jc w:val="both"/>
        <w:rPr>
          <w:color w:val="153D63" w:themeColor="text2" w:themeTint="E6"/>
        </w:rPr>
      </w:pPr>
      <w:r w:rsidRPr="00905C24">
        <w:rPr>
          <w:color w:val="153D63" w:themeColor="text2" w:themeTint="E6"/>
        </w:rPr>
        <w:t xml:space="preserve">In the revised manuscript, we have completely restructured the validation framework. As detailed in Section 2.2.4, the dataset is now divided into three strictly separated partitions using a stratified fixed-split approach: a training set (~104 samples), a validation set (16 samples), and a test set (16 samples). Hyperparameters are optimised using </w:t>
      </w:r>
      <w:proofErr w:type="spellStart"/>
      <w:r w:rsidRPr="00905C24">
        <w:rPr>
          <w:color w:val="153D63" w:themeColor="text2" w:themeTint="E6"/>
        </w:rPr>
        <w:t>GridSearchCV</w:t>
      </w:r>
      <w:proofErr w:type="spellEnd"/>
      <w:r w:rsidRPr="00905C24">
        <w:rPr>
          <w:color w:val="153D63" w:themeColor="text2" w:themeTint="E6"/>
        </w:rPr>
        <w:t xml:space="preserve"> with a custom split where training samples serve as the training fold and the validation samples as the held-out evaluation fold. After identifying optimal hyperparameters, each base model is retrained exclusively on the training set. The test set is reserved solely for final model evaluation and is never used during any training or hyperparameter selection step. Table 5 in the revised manuscript reports training, validation, and test metrics side by side. The reported validation MAE of 13.41 °C and test MAE of 15.17 °C are genuine held-out performance metrics, while the training MAE (3.92 °C) is reported alongside these to quantify the generalisation gap transparently.</w:t>
      </w:r>
    </w:p>
    <w:p w14:paraId="551EB4C5" w14:textId="41573DD1" w:rsidR="00357DEA" w:rsidRPr="00905C24" w:rsidRDefault="00357DEA" w:rsidP="00357DEA">
      <w:pPr>
        <w:spacing w:line="276" w:lineRule="auto"/>
        <w:jc w:val="both"/>
        <w:rPr>
          <w:color w:val="153D63" w:themeColor="text2" w:themeTint="E6"/>
        </w:rPr>
      </w:pPr>
      <w:r w:rsidRPr="00905C24">
        <w:rPr>
          <w:color w:val="153D63" w:themeColor="text2" w:themeTint="E6"/>
        </w:rPr>
        <w:t xml:space="preserve">Regarding the suggestion of nested cross-validation: we investigated an out-of-fold (OOF) cross-validation architecture as an alternative (Section 3.3). Under this scheme, the best-performing configuration achieved a validation MAE of 15.71 °C and R² of 0.34, substantially worse than the stratified fixed-split results (MAE = 13.41 °C, R² = 0.49). The inferior OOF performance is attributable to the limited dataset size: with only 136 </w:t>
      </w:r>
      <w:r w:rsidRPr="00905C24">
        <w:rPr>
          <w:color w:val="153D63" w:themeColor="text2" w:themeTint="E6"/>
        </w:rPr>
        <w:lastRenderedPageBreak/>
        <w:t>samples, each CV fold further reduces the already small effective training set, leading to higher-variance base-model predictions and a less stable meta-learner training signal. The stratified fixed-split approach preserves the maximal training set size while maintaining strict data separation. The stratified sampling ensures that all three partitions are representative of the full T</w:t>
      </w:r>
      <w:r w:rsidRPr="00905C24">
        <w:rPr>
          <w:color w:val="153D63" w:themeColor="text2" w:themeTint="E6"/>
          <w:vertAlign w:val="subscript"/>
        </w:rPr>
        <w:t>g</w:t>
      </w:r>
      <w:r w:rsidRPr="00905C24">
        <w:rPr>
          <w:color w:val="153D63" w:themeColor="text2" w:themeTint="E6"/>
        </w:rPr>
        <w:t xml:space="preserve"> distribution (verified through distributional statistics in Supporting Information, Figure S4), and a consistent random seed guarantees full reproducibility. The comparative performance analysis is also illustrated in the </w:t>
      </w:r>
      <w:r w:rsidR="00905C24" w:rsidRPr="00905C24">
        <w:rPr>
          <w:color w:val="153D63" w:themeColor="text2" w:themeTint="E6"/>
        </w:rPr>
        <w:t>Figure S 5 available in the Supporting Information.</w:t>
      </w:r>
    </w:p>
    <w:p w14:paraId="1609BB51" w14:textId="77777777" w:rsidR="00357DEA" w:rsidRDefault="00357DEA" w:rsidP="00357DEA">
      <w:pPr>
        <w:spacing w:line="276" w:lineRule="auto"/>
        <w:jc w:val="both"/>
      </w:pPr>
    </w:p>
    <w:p w14:paraId="0E63CC6C" w14:textId="4D6E8758" w:rsidR="00357DEA" w:rsidRPr="001D7158" w:rsidRDefault="00357DEA" w:rsidP="00357DEA">
      <w:pPr>
        <w:spacing w:line="276" w:lineRule="auto"/>
        <w:jc w:val="both"/>
        <w:rPr>
          <w:b/>
          <w:bCs/>
        </w:rPr>
      </w:pPr>
      <w:r w:rsidRPr="001D7158">
        <w:rPr>
          <w:b/>
          <w:bCs/>
        </w:rPr>
        <w:t xml:space="preserve">Comment 2 </w:t>
      </w:r>
    </w:p>
    <w:p w14:paraId="6F8D76BB" w14:textId="706CCF3B" w:rsidR="00357DEA" w:rsidRDefault="00357DEA" w:rsidP="00357DEA">
      <w:pPr>
        <w:spacing w:line="276" w:lineRule="auto"/>
        <w:jc w:val="both"/>
      </w:pPr>
      <w:r>
        <w:t>"Because the test error was never calculated, but only the training error (of 6.66 °C), overfitting could never be discussed, which was one of the negative points found in the discussed literature in the state-of-the-art section. Also, because no test error was calculated, the generalizability of the model... cannot be discussed at all."*</w:t>
      </w:r>
    </w:p>
    <w:p w14:paraId="1D720278" w14:textId="30122C1D" w:rsidR="00357DEA" w:rsidRPr="00905C24" w:rsidRDefault="00357DEA" w:rsidP="00357DEA">
      <w:pPr>
        <w:spacing w:line="276" w:lineRule="auto"/>
        <w:jc w:val="both"/>
        <w:rPr>
          <w:b/>
          <w:bCs/>
          <w:color w:val="153D63" w:themeColor="text2" w:themeTint="E6"/>
        </w:rPr>
      </w:pPr>
      <w:r w:rsidRPr="00905C24">
        <w:rPr>
          <w:b/>
          <w:bCs/>
          <w:color w:val="153D63" w:themeColor="text2" w:themeTint="E6"/>
        </w:rPr>
        <w:t>Response:</w:t>
      </w:r>
    </w:p>
    <w:p w14:paraId="4BB3C322" w14:textId="77777777" w:rsidR="00357DEA" w:rsidRPr="00905C24" w:rsidRDefault="00357DEA" w:rsidP="00357DEA">
      <w:pPr>
        <w:spacing w:line="276" w:lineRule="auto"/>
        <w:jc w:val="both"/>
        <w:rPr>
          <w:color w:val="153D63" w:themeColor="text2" w:themeTint="E6"/>
        </w:rPr>
      </w:pPr>
      <w:r w:rsidRPr="00905C24">
        <w:rPr>
          <w:color w:val="153D63" w:themeColor="text2" w:themeTint="E6"/>
        </w:rPr>
        <w:t>We appreciate the reviewer's emphasis on the importance of quantifying overfitting and generalisability. The reviewer is correct that in the original manuscript, the absence of a true test error (only training-based metrics were reported at MAE = 6.66 °C) precluded any meaningful discussion of overfitting or generalisability.</w:t>
      </w:r>
    </w:p>
    <w:p w14:paraId="3E47127B" w14:textId="40D78F52" w:rsidR="00357DEA" w:rsidRPr="00905C24" w:rsidRDefault="00357DEA" w:rsidP="00357DEA">
      <w:pPr>
        <w:spacing w:line="276" w:lineRule="auto"/>
        <w:jc w:val="both"/>
        <w:rPr>
          <w:color w:val="153D63" w:themeColor="text2" w:themeTint="E6"/>
        </w:rPr>
      </w:pPr>
      <w:r w:rsidRPr="00905C24">
        <w:rPr>
          <w:color w:val="153D63" w:themeColor="text2" w:themeTint="E6"/>
        </w:rPr>
        <w:t>In the revised manuscript, this has been comprehensively addressed. Table 5 now provides a full comparison of R², MSE, and MAE across separate training, validation, and test sets for all individual base models and the stacking ensemble. The selected model achieves a validation MAE of 13.41 °C, a test MAE of 15.17 °C, and a training MAE of 3.92 °C</w:t>
      </w:r>
      <w:r w:rsidR="00905C24" w:rsidRPr="00905C24">
        <w:rPr>
          <w:color w:val="153D63" w:themeColor="text2" w:themeTint="E6"/>
        </w:rPr>
        <w:t xml:space="preserve">, </w:t>
      </w:r>
      <w:r w:rsidRPr="00905C24">
        <w:rPr>
          <w:color w:val="153D63" w:themeColor="text2" w:themeTint="E6"/>
        </w:rPr>
        <w:t>enabling transparent quantification of overfitting. The generalisability gap (validation MAE − training MAE = 9.49 °C) is reported in the Conclusion (Section 4), and we acknowledge that this gap "indicates moderate overfitting of the data." Furthermore, overfitting is now discussed at length in Section 3.3, where we analyse model performance as a function of the number of base estimators, explicitly stating that "the widening gap between the train and validation curves indicates overfitting, particularly at higher numbers of base estimators." We deliberately selected the model with 10 base estimators (rather than 1000 as in the original manuscript) because it yielded the lowest validation MAE, thereby prioritising generalisation over training performance. The discussion further contextualises these findings against the broader polymer-informatics literature, noting that our performance is "realistic for a heterogeneous lignin-based polyurethane dataset" rather than a curated benchmark.</w:t>
      </w:r>
    </w:p>
    <w:p w14:paraId="6819BB45" w14:textId="7CCBA31C" w:rsidR="00357DEA" w:rsidRPr="001D7158" w:rsidRDefault="00357DEA" w:rsidP="00357DEA">
      <w:pPr>
        <w:spacing w:line="276" w:lineRule="auto"/>
        <w:jc w:val="both"/>
        <w:rPr>
          <w:b/>
          <w:bCs/>
        </w:rPr>
      </w:pPr>
      <w:r w:rsidRPr="001D7158">
        <w:rPr>
          <w:b/>
          <w:bCs/>
        </w:rPr>
        <w:t xml:space="preserve">Comment 3 </w:t>
      </w:r>
    </w:p>
    <w:p w14:paraId="26BF1945" w14:textId="4FF359D3" w:rsidR="00357DEA" w:rsidRDefault="00357DEA" w:rsidP="00357DEA">
      <w:pPr>
        <w:spacing w:line="276" w:lineRule="auto"/>
        <w:jc w:val="both"/>
      </w:pPr>
      <w:r>
        <w:lastRenderedPageBreak/>
        <w:t>"Using an output property (swelling ratio) as input parameter in the ML models simply prevents using the final trained model for any kind of useful predictions that could be verified experimentally... the corresponding experiment is then impossible to be performed because one of the 'input' parameters (the swelling ratio) is actually a final output parameter which cannot be set in advance."</w:t>
      </w:r>
    </w:p>
    <w:p w14:paraId="0A55DCD0" w14:textId="65192B06" w:rsidR="00357DEA" w:rsidRPr="00905C24" w:rsidRDefault="00357DEA" w:rsidP="00357DEA">
      <w:pPr>
        <w:spacing w:line="276" w:lineRule="auto"/>
        <w:jc w:val="both"/>
        <w:rPr>
          <w:b/>
          <w:bCs/>
          <w:color w:val="153D63" w:themeColor="text2" w:themeTint="E6"/>
        </w:rPr>
      </w:pPr>
      <w:r w:rsidRPr="00905C24">
        <w:rPr>
          <w:b/>
          <w:bCs/>
          <w:color w:val="153D63" w:themeColor="text2" w:themeTint="E6"/>
        </w:rPr>
        <w:t>Response:</w:t>
      </w:r>
    </w:p>
    <w:p w14:paraId="22BFE6DE" w14:textId="7BBCC2A9" w:rsidR="00357DEA" w:rsidRPr="00905C24" w:rsidRDefault="00357DEA" w:rsidP="00357DEA">
      <w:pPr>
        <w:spacing w:line="276" w:lineRule="auto"/>
        <w:jc w:val="both"/>
        <w:rPr>
          <w:color w:val="153D63" w:themeColor="text2" w:themeTint="E6"/>
        </w:rPr>
      </w:pPr>
      <w:r w:rsidRPr="00905C24">
        <w:rPr>
          <w:color w:val="153D63" w:themeColor="text2" w:themeTint="E6"/>
        </w:rPr>
        <w:t>We fully agree with the reviewer's reasoning. In the original manuscript, the swelling ratio was included as an input feature in the final model, which, as the reviewer correctly identifies, rendered the model unsuitable for practical pre-synthesis prediction</w:t>
      </w:r>
      <w:r w:rsidR="00905C24">
        <w:rPr>
          <w:color w:val="153D63" w:themeColor="text2" w:themeTint="E6"/>
        </w:rPr>
        <w:t xml:space="preserve">, </w:t>
      </w:r>
      <w:r w:rsidRPr="00905C24">
        <w:rPr>
          <w:color w:val="153D63" w:themeColor="text2" w:themeTint="E6"/>
        </w:rPr>
        <w:t>one cannot set the swelling ratio in advance because it is a consequence of the experiment itself.</w:t>
      </w:r>
    </w:p>
    <w:p w14:paraId="5DE5E199" w14:textId="77777777" w:rsidR="00357DEA" w:rsidRPr="00905C24" w:rsidRDefault="00357DEA" w:rsidP="00357DEA">
      <w:pPr>
        <w:spacing w:line="276" w:lineRule="auto"/>
        <w:jc w:val="both"/>
        <w:rPr>
          <w:color w:val="153D63" w:themeColor="text2" w:themeTint="E6"/>
        </w:rPr>
      </w:pPr>
      <w:r w:rsidRPr="00905C24">
        <w:rPr>
          <w:color w:val="153D63" w:themeColor="text2" w:themeTint="E6"/>
        </w:rPr>
        <w:t>In the revised manuscript, the swelling ratio has been excluded from the final predictive model. The model now uses exclusively five controllable formulation parameters: Lignin (</w:t>
      </w:r>
      <w:proofErr w:type="spellStart"/>
      <w:r w:rsidRPr="00905C24">
        <w:rPr>
          <w:color w:val="153D63" w:themeColor="text2" w:themeTint="E6"/>
        </w:rPr>
        <w:t>wt</w:t>
      </w:r>
      <w:proofErr w:type="spellEnd"/>
      <w:r w:rsidRPr="00905C24">
        <w:rPr>
          <w:color w:val="153D63" w:themeColor="text2" w:themeTint="E6"/>
        </w:rPr>
        <w:t xml:space="preserve">%), Co-polyol type (PTHF), Ratio, </w:t>
      </w:r>
      <w:proofErr w:type="spellStart"/>
      <w:r w:rsidRPr="00905C24">
        <w:rPr>
          <w:color w:val="153D63" w:themeColor="text2" w:themeTint="E6"/>
        </w:rPr>
        <w:t>Copolyol</w:t>
      </w:r>
      <w:proofErr w:type="spellEnd"/>
      <w:r w:rsidRPr="00905C24">
        <w:rPr>
          <w:color w:val="153D63" w:themeColor="text2" w:themeTint="E6"/>
        </w:rPr>
        <w:t xml:space="preserve"> (</w:t>
      </w:r>
      <w:proofErr w:type="spellStart"/>
      <w:r w:rsidRPr="00905C24">
        <w:rPr>
          <w:color w:val="153D63" w:themeColor="text2" w:themeTint="E6"/>
        </w:rPr>
        <w:t>wt</w:t>
      </w:r>
      <w:proofErr w:type="spellEnd"/>
      <w:r w:rsidRPr="00905C24">
        <w:rPr>
          <w:color w:val="153D63" w:themeColor="text2" w:themeTint="E6"/>
        </w:rPr>
        <w:t>%), and Isocyanate (</w:t>
      </w:r>
      <w:proofErr w:type="spellStart"/>
      <w:r w:rsidRPr="00905C24">
        <w:rPr>
          <w:color w:val="153D63" w:themeColor="text2" w:themeTint="E6"/>
        </w:rPr>
        <w:t>wt</w:t>
      </w:r>
      <w:proofErr w:type="spellEnd"/>
      <w:r w:rsidRPr="00905C24">
        <w:rPr>
          <w:color w:val="153D63" w:themeColor="text2" w:themeTint="E6"/>
        </w:rPr>
        <w:t>%). These are all parameters that a chemist can specify prior to synthesis, making the model directly applicable for pre-synthesis screening and formulation design. The swelling ratio was explored during feature selection (Section 2.2.3) to understand its informational value, and its impact on MAE reduction is reported in the Supporting Information for transparency. Recognising the practical limitation the reviewer describes, we deliberately excluded it to restore the model's utility as a predictive design tool. As stated in the revised Conclusion (Section 4): "The swelling ratio emerged as a critical characterisation parameter, exhibiting the highest contribution in terms of maximum absolute loading in PCA. Nevertheless, as a post-synthesis characterisation measurement rather than a controllable formulation variable, swelling ratio was ultimately not included in the final predictive model." We acknowledge that this exclusion results in a higher MAE compared to the original model that included swelling ratio, but we believe this trade-off is necessary to maintain the practical applicability of the model for formulation design.</w:t>
      </w:r>
    </w:p>
    <w:p w14:paraId="570C81CC" w14:textId="77777777" w:rsidR="00357DEA" w:rsidRDefault="00357DEA" w:rsidP="00357DEA">
      <w:pPr>
        <w:spacing w:line="276" w:lineRule="auto"/>
        <w:jc w:val="both"/>
      </w:pPr>
    </w:p>
    <w:p w14:paraId="415FC77F" w14:textId="7C757AA1" w:rsidR="00357DEA" w:rsidRPr="001D7158" w:rsidRDefault="00357DEA" w:rsidP="00357DEA">
      <w:pPr>
        <w:spacing w:line="276" w:lineRule="auto"/>
        <w:jc w:val="both"/>
        <w:rPr>
          <w:b/>
          <w:bCs/>
        </w:rPr>
      </w:pPr>
      <w:r w:rsidRPr="001D7158">
        <w:rPr>
          <w:b/>
          <w:bCs/>
        </w:rPr>
        <w:t xml:space="preserve"> Comment 4 </w:t>
      </w:r>
    </w:p>
    <w:p w14:paraId="12753A9E" w14:textId="26A69DDF" w:rsidR="00357DEA" w:rsidRDefault="00357DEA" w:rsidP="00357DEA">
      <w:pPr>
        <w:spacing w:line="276" w:lineRule="auto"/>
        <w:jc w:val="both"/>
      </w:pPr>
      <w:r>
        <w:t xml:space="preserve">"In the state-of-the-art, the authors state that the GBR model of ref 19 was strongly overfitting, which is misleading, as the best screened ML model in that paper was the LASSO model, which exhibited very little overfitting... The GBR model reported in ref 19 was </w:t>
      </w:r>
      <w:proofErr w:type="gramStart"/>
      <w:r>
        <w:t>actually the</w:t>
      </w:r>
      <w:proofErr w:type="gramEnd"/>
      <w:r>
        <w:t xml:space="preserve"> worst screened model... In addition, the MAE error reported for the LASSO model used in Ref 19, as correctly evaluated on the test set, was between 4–5 °C, using only as few as 35 samples, being therefore substantially better than the ensemble model of the present manuscript, which used as many as 136 samples."*</w:t>
      </w:r>
    </w:p>
    <w:p w14:paraId="2C9EB744" w14:textId="7B706004" w:rsidR="00357DEA" w:rsidRPr="00905C24" w:rsidRDefault="00357DEA" w:rsidP="00357DEA">
      <w:pPr>
        <w:spacing w:line="276" w:lineRule="auto"/>
        <w:jc w:val="both"/>
        <w:rPr>
          <w:b/>
          <w:bCs/>
          <w:color w:val="153D63" w:themeColor="text2" w:themeTint="E6"/>
        </w:rPr>
      </w:pPr>
      <w:r w:rsidRPr="00905C24">
        <w:rPr>
          <w:b/>
          <w:bCs/>
          <w:color w:val="153D63" w:themeColor="text2" w:themeTint="E6"/>
        </w:rPr>
        <w:t>Response:</w:t>
      </w:r>
    </w:p>
    <w:p w14:paraId="19AFB9F6" w14:textId="77777777" w:rsidR="00357DEA" w:rsidRPr="00905C24" w:rsidRDefault="00357DEA" w:rsidP="00357DEA">
      <w:pPr>
        <w:spacing w:line="276" w:lineRule="auto"/>
        <w:jc w:val="both"/>
        <w:rPr>
          <w:color w:val="153D63" w:themeColor="text2" w:themeTint="E6"/>
        </w:rPr>
      </w:pPr>
      <w:r w:rsidRPr="00905C24">
        <w:rPr>
          <w:color w:val="153D63" w:themeColor="text2" w:themeTint="E6"/>
        </w:rPr>
        <w:lastRenderedPageBreak/>
        <w:t>We thank the reviewer for this correction and apologise for the imprecise characterisation of Ref. 19 in the original manuscript. The reviewer is correct that the LASSO model was the best-performing model in that study, exhibiting minimal overfitting and achieving an MAE of approximately 4–5 °C on the test set with only 35 samples. In the original manuscript, we focused on the GBR results to motivate the need for ensemble approaches, which inadvertently misrepresented the overall findings of that study. In the revised manuscript, we have corrected the relevant passage in the Introduction to accurately reflect that the GBR model exhibited significant overfitting in that study while the LASSO model demonstrated robust generalisation performance, thereby properly acknowledging the methodological contributions of that work.</w:t>
      </w:r>
    </w:p>
    <w:p w14:paraId="447228C5" w14:textId="4960360A" w:rsidR="00357DEA" w:rsidRPr="00905C24" w:rsidRDefault="00357DEA" w:rsidP="00357DEA">
      <w:pPr>
        <w:spacing w:line="276" w:lineRule="auto"/>
        <w:jc w:val="both"/>
        <w:rPr>
          <w:color w:val="153D63" w:themeColor="text2" w:themeTint="E6"/>
        </w:rPr>
      </w:pPr>
      <w:r w:rsidRPr="00905C24">
        <w:rPr>
          <w:color w:val="153D63" w:themeColor="text2" w:themeTint="E6"/>
        </w:rPr>
        <w:t>Regarding the comparison of MAE values: we note that a direct comparison between the two studies should be made with caution, as the datasets differ substantially in nature. The dataset in Ref. 19 comprised biobased epoxy resins</w:t>
      </w:r>
      <w:r w:rsidR="00905C24" w:rsidRPr="00905C24">
        <w:rPr>
          <w:color w:val="153D63" w:themeColor="text2" w:themeTint="E6"/>
        </w:rPr>
        <w:t xml:space="preserve">, </w:t>
      </w:r>
      <w:r w:rsidRPr="00905C24">
        <w:rPr>
          <w:color w:val="153D63" w:themeColor="text2" w:themeTint="E6"/>
        </w:rPr>
        <w:t>a different polymer class with different structure–property relationships. Our dataset consists of lignin-based polyurethanes, which present additional complexity due to lignin's inherent heterogeneity (variability in hydroxyl content, molecular weight distribution, and aromatic structure) and the multimodal T</w:t>
      </w:r>
      <w:r w:rsidRPr="00905C24">
        <w:rPr>
          <w:color w:val="153D63" w:themeColor="text2" w:themeTint="E6"/>
          <w:vertAlign w:val="subscript"/>
        </w:rPr>
        <w:t>g</w:t>
      </w:r>
      <w:r w:rsidRPr="00905C24">
        <w:rPr>
          <w:color w:val="153D63" w:themeColor="text2" w:themeTint="E6"/>
        </w:rPr>
        <w:t xml:space="preserve"> distributions arising from the interplay of hard and soft segments. The bimodal clustering observed in our data (Figure 4) and the wide T</w:t>
      </w:r>
      <w:r w:rsidRPr="00905C24">
        <w:rPr>
          <w:color w:val="153D63" w:themeColor="text2" w:themeTint="E6"/>
          <w:vertAlign w:val="subscript"/>
        </w:rPr>
        <w:t>g</w:t>
      </w:r>
      <w:r w:rsidRPr="00905C24">
        <w:rPr>
          <w:color w:val="153D63" w:themeColor="text2" w:themeTint="E6"/>
        </w:rPr>
        <w:t xml:space="preserve"> range (from approximately −17 °C to 100 °C) reflect a level of chemical diversity that makes prediction inherently more challenging. Furthermore, the number of input features and target property ranges differ between the two studies, precluding a straightforward MAE comparison. Nevertheless, we recognise that our validation performance is moderate, as we explicitly acknowledge in Section 3.3 of the revised manuscript, and we view our results as a realistic baseline for this </w:t>
      </w:r>
      <w:proofErr w:type="gramStart"/>
      <w:r w:rsidRPr="00905C24">
        <w:rPr>
          <w:color w:val="153D63" w:themeColor="text2" w:themeTint="E6"/>
        </w:rPr>
        <w:t>particular material</w:t>
      </w:r>
      <w:proofErr w:type="gramEnd"/>
      <w:r w:rsidRPr="00905C24">
        <w:rPr>
          <w:color w:val="153D63" w:themeColor="text2" w:themeTint="E6"/>
        </w:rPr>
        <w:t xml:space="preserve"> system rather than a claim of superiority.</w:t>
      </w:r>
    </w:p>
    <w:p w14:paraId="6A92F3EB" w14:textId="77777777" w:rsidR="00357DEA" w:rsidRDefault="00357DEA" w:rsidP="00357DEA">
      <w:pPr>
        <w:spacing w:line="276" w:lineRule="auto"/>
        <w:jc w:val="both"/>
      </w:pPr>
    </w:p>
    <w:p w14:paraId="22A45CDC" w14:textId="07736CB2" w:rsidR="00357DEA" w:rsidRPr="001D7158" w:rsidRDefault="00357DEA" w:rsidP="00357DEA">
      <w:pPr>
        <w:spacing w:line="276" w:lineRule="auto"/>
        <w:jc w:val="both"/>
        <w:rPr>
          <w:b/>
          <w:bCs/>
        </w:rPr>
      </w:pPr>
      <w:r w:rsidRPr="001D7158">
        <w:rPr>
          <w:b/>
          <w:bCs/>
        </w:rPr>
        <w:t xml:space="preserve">Comment 5 </w:t>
      </w:r>
    </w:p>
    <w:p w14:paraId="7155527E" w14:textId="5A776D35" w:rsidR="00357DEA" w:rsidRDefault="00357DEA" w:rsidP="00357DEA">
      <w:pPr>
        <w:spacing w:line="276" w:lineRule="auto"/>
        <w:jc w:val="both"/>
      </w:pPr>
      <w:r>
        <w:t>"Testing the extrapolation performance of the model would make more sense if a gaussian processes regressor would have been included in the screened ML models."</w:t>
      </w:r>
    </w:p>
    <w:p w14:paraId="54B235CF" w14:textId="6BF96C08" w:rsidR="00357DEA" w:rsidRPr="006A2784" w:rsidRDefault="00357DEA" w:rsidP="00357DEA">
      <w:pPr>
        <w:spacing w:line="276" w:lineRule="auto"/>
        <w:jc w:val="both"/>
        <w:rPr>
          <w:b/>
          <w:bCs/>
          <w:color w:val="153D63" w:themeColor="text2" w:themeTint="E6"/>
        </w:rPr>
      </w:pPr>
      <w:r w:rsidRPr="006A2784">
        <w:rPr>
          <w:b/>
          <w:bCs/>
          <w:color w:val="153D63" w:themeColor="text2" w:themeTint="E6"/>
        </w:rPr>
        <w:t>Response:</w:t>
      </w:r>
    </w:p>
    <w:p w14:paraId="4C4EFF5D" w14:textId="5AB25110" w:rsidR="00357DEA" w:rsidRPr="006A2784" w:rsidRDefault="00357DEA" w:rsidP="00357DEA">
      <w:pPr>
        <w:spacing w:line="276" w:lineRule="auto"/>
        <w:jc w:val="both"/>
        <w:rPr>
          <w:color w:val="153D63" w:themeColor="text2" w:themeTint="E6"/>
        </w:rPr>
      </w:pPr>
      <w:r w:rsidRPr="006A2784">
        <w:rPr>
          <w:color w:val="153D63" w:themeColor="text2" w:themeTint="E6"/>
        </w:rPr>
        <w:t>We thank the reviewer for this valuable suggestion. Gaussian Process Regressors (</w:t>
      </w:r>
      <w:proofErr w:type="spellStart"/>
      <w:r w:rsidRPr="006A2784">
        <w:rPr>
          <w:color w:val="153D63" w:themeColor="text2" w:themeTint="E6"/>
        </w:rPr>
        <w:t>GPRs</w:t>
      </w:r>
      <w:proofErr w:type="spellEnd"/>
      <w:r w:rsidRPr="006A2784">
        <w:rPr>
          <w:color w:val="153D63" w:themeColor="text2" w:themeTint="E6"/>
        </w:rPr>
        <w:t xml:space="preserve">) are indeed well suited for uncertainty quantification and can provide principled confidence intervals on predictions, which would be particularly informative for assessing extrapolation reliability. In our study, we focused on ensemble methods combining linear, kernel-based, and tree-based learners, which collectively cover a broad spectrum of model architectures. The inclusion of GPR was not pursued in this work primarily due to scalability considerations during the exhaustive feature-combination search (511 combinations × 13 estimator settings = 6,643 experiments), </w:t>
      </w:r>
      <w:r w:rsidRPr="006A2784">
        <w:rPr>
          <w:color w:val="153D63" w:themeColor="text2" w:themeTint="E6"/>
        </w:rPr>
        <w:lastRenderedPageBreak/>
        <w:t xml:space="preserve">where </w:t>
      </w:r>
      <w:proofErr w:type="spellStart"/>
      <w:r w:rsidRPr="006A2784">
        <w:rPr>
          <w:color w:val="153D63" w:themeColor="text2" w:themeTint="E6"/>
        </w:rPr>
        <w:t>GPR's</w:t>
      </w:r>
      <w:proofErr w:type="spellEnd"/>
      <w:r w:rsidRPr="006A2784">
        <w:rPr>
          <w:color w:val="153D63" w:themeColor="text2" w:themeTint="E6"/>
        </w:rPr>
        <w:t xml:space="preserve"> cubic computational complexity with respect to the number of training samples would have substantially increased the already significant computational burden.</w:t>
      </w:r>
    </w:p>
    <w:p w14:paraId="0DA774CB" w14:textId="4D89208F" w:rsidR="00357DEA" w:rsidRPr="006A2784" w:rsidRDefault="00357DEA" w:rsidP="00357DEA">
      <w:pPr>
        <w:spacing w:line="276" w:lineRule="auto"/>
        <w:jc w:val="both"/>
        <w:rPr>
          <w:color w:val="153D63" w:themeColor="text2" w:themeTint="E6"/>
        </w:rPr>
      </w:pPr>
      <w:r w:rsidRPr="006A2784">
        <w:rPr>
          <w:color w:val="153D63" w:themeColor="text2" w:themeTint="E6"/>
        </w:rPr>
        <w:t>However, we recognise that GPR would provide valuable complementary information, particularly for extrapolation scenarios where uncertainty estimates are essential. We have added this as an explicit recommendation for future work in the revised manuscript (Section 4), suggesting that incorporating GPR into the ensemble</w:t>
      </w:r>
      <w:r w:rsidR="006A2784" w:rsidRPr="006A2784">
        <w:rPr>
          <w:color w:val="153D63" w:themeColor="text2" w:themeTint="E6"/>
        </w:rPr>
        <w:t xml:space="preserve">, </w:t>
      </w:r>
      <w:r w:rsidRPr="006A2784">
        <w:rPr>
          <w:color w:val="153D63" w:themeColor="text2" w:themeTint="E6"/>
        </w:rPr>
        <w:t>or using it as a standalone comparator</w:t>
      </w:r>
      <w:r w:rsidR="006A2784" w:rsidRPr="006A2784">
        <w:rPr>
          <w:color w:val="153D63" w:themeColor="text2" w:themeTint="E6"/>
        </w:rPr>
        <w:t xml:space="preserve">, </w:t>
      </w:r>
      <w:r w:rsidRPr="006A2784">
        <w:rPr>
          <w:color w:val="153D63" w:themeColor="text2" w:themeTint="E6"/>
        </w:rPr>
        <w:t>could enhance extrapolation assessment by providing probabilistic prediction intervals that quantify the model's confidence as a function of distance from the training domain.</w:t>
      </w:r>
    </w:p>
    <w:p w14:paraId="5D65616D" w14:textId="77777777" w:rsidR="001D7158" w:rsidRDefault="001D7158" w:rsidP="00357DEA">
      <w:pPr>
        <w:spacing w:line="276" w:lineRule="auto"/>
        <w:jc w:val="both"/>
        <w:rPr>
          <w:color w:val="000000" w:themeColor="text1"/>
        </w:rPr>
      </w:pPr>
    </w:p>
    <w:p w14:paraId="00ADB487" w14:textId="190310DA" w:rsidR="00642784" w:rsidRPr="001D7158" w:rsidRDefault="00642784" w:rsidP="00642784">
      <w:pPr>
        <w:spacing w:line="276" w:lineRule="auto"/>
        <w:jc w:val="both"/>
        <w:rPr>
          <w:b/>
          <w:bCs/>
          <w:sz w:val="28"/>
          <w:szCs w:val="28"/>
        </w:rPr>
      </w:pPr>
      <w:r w:rsidRPr="001D7158">
        <w:rPr>
          <w:b/>
          <w:bCs/>
          <w:sz w:val="28"/>
          <w:szCs w:val="28"/>
        </w:rPr>
        <w:t>Reviewer #</w:t>
      </w:r>
      <w:r>
        <w:rPr>
          <w:b/>
          <w:bCs/>
          <w:sz w:val="28"/>
          <w:szCs w:val="28"/>
        </w:rPr>
        <w:t>6</w:t>
      </w:r>
    </w:p>
    <w:p w14:paraId="22F35D16" w14:textId="46674C17" w:rsidR="00642784" w:rsidRDefault="00642784" w:rsidP="00642784">
      <w:pPr>
        <w:spacing w:line="276" w:lineRule="auto"/>
        <w:jc w:val="both"/>
        <w:rPr>
          <w:b/>
          <w:bCs/>
        </w:rPr>
      </w:pPr>
      <w:r w:rsidRPr="001D7158">
        <w:rPr>
          <w:b/>
          <w:bCs/>
        </w:rPr>
        <w:t xml:space="preserve">Comment </w:t>
      </w:r>
      <w:r>
        <w:rPr>
          <w:b/>
          <w:bCs/>
        </w:rPr>
        <w:br/>
      </w:r>
    </w:p>
    <w:p w14:paraId="19EEB2CB" w14:textId="73411F57" w:rsidR="00642784" w:rsidRDefault="00642784" w:rsidP="00642784">
      <w:pPr>
        <w:spacing w:line="276" w:lineRule="auto"/>
        <w:jc w:val="both"/>
      </w:pPr>
      <w:r>
        <w:t>"</w:t>
      </w:r>
      <w:r w:rsidRPr="00642784">
        <w:t xml:space="preserve">A </w:t>
      </w:r>
      <w:proofErr w:type="gramStart"/>
      <w:r w:rsidRPr="00642784">
        <w:t>well done</w:t>
      </w:r>
      <w:proofErr w:type="gramEnd"/>
      <w:r w:rsidRPr="00642784">
        <w:t xml:space="preserve"> timely manuscript</w:t>
      </w:r>
      <w:r>
        <w:t>"</w:t>
      </w:r>
    </w:p>
    <w:p w14:paraId="0DC0AD48" w14:textId="0FBA6078" w:rsidR="00642784" w:rsidRPr="00642784" w:rsidRDefault="00642784" w:rsidP="00642784">
      <w:pPr>
        <w:spacing w:line="276" w:lineRule="auto"/>
        <w:jc w:val="both"/>
        <w:rPr>
          <w:color w:val="153D63" w:themeColor="text2" w:themeTint="E6"/>
        </w:rPr>
      </w:pPr>
      <w:r w:rsidRPr="00642784">
        <w:rPr>
          <w:color w:val="153D63" w:themeColor="text2" w:themeTint="E6"/>
        </w:rPr>
        <w:t>Thank you!</w:t>
      </w:r>
    </w:p>
    <w:p w14:paraId="677EA5DB" w14:textId="77777777" w:rsidR="00642784" w:rsidRPr="001D7158" w:rsidRDefault="00642784" w:rsidP="00357DEA">
      <w:pPr>
        <w:spacing w:line="276" w:lineRule="auto"/>
        <w:jc w:val="both"/>
        <w:rPr>
          <w:color w:val="000000" w:themeColor="text1"/>
        </w:rPr>
      </w:pPr>
    </w:p>
    <w:p w14:paraId="5939D049" w14:textId="04737BEA" w:rsidR="00357DEA" w:rsidRPr="001D7158" w:rsidRDefault="00357DEA" w:rsidP="00357DEA">
      <w:pPr>
        <w:spacing w:line="276" w:lineRule="auto"/>
        <w:jc w:val="both"/>
        <w:rPr>
          <w:color w:val="000000" w:themeColor="text1"/>
        </w:rPr>
      </w:pPr>
      <w:r w:rsidRPr="001D7158">
        <w:rPr>
          <w:color w:val="000000" w:themeColor="text1"/>
        </w:rPr>
        <w:t>We trust that these responses and the corresponding revisions adequately address the reviewers' concerns. We remain available for any further clarifications or additional revisions that may be required.</w:t>
      </w:r>
    </w:p>
    <w:p w14:paraId="42D2F0F1" w14:textId="77777777" w:rsidR="00EA1C09" w:rsidRDefault="00EA1C09" w:rsidP="00357DEA">
      <w:pPr>
        <w:spacing w:line="276" w:lineRule="auto"/>
        <w:jc w:val="both"/>
      </w:pPr>
    </w:p>
    <w:sectPr w:rsidR="00EA1C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3B773" w14:textId="77777777" w:rsidR="00400B04" w:rsidRDefault="00400B04" w:rsidP="00EF6E2A">
      <w:pPr>
        <w:spacing w:after="0" w:line="240" w:lineRule="auto"/>
      </w:pPr>
      <w:r>
        <w:separator/>
      </w:r>
    </w:p>
  </w:endnote>
  <w:endnote w:type="continuationSeparator" w:id="0">
    <w:p w14:paraId="5C51C087" w14:textId="77777777" w:rsidR="00400B04" w:rsidRDefault="00400B04" w:rsidP="00EF6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F7155" w14:textId="77777777" w:rsidR="00400B04" w:rsidRDefault="00400B04" w:rsidP="00EF6E2A">
      <w:pPr>
        <w:spacing w:after="0" w:line="240" w:lineRule="auto"/>
      </w:pPr>
      <w:r>
        <w:separator/>
      </w:r>
    </w:p>
  </w:footnote>
  <w:footnote w:type="continuationSeparator" w:id="0">
    <w:p w14:paraId="7DB5BFC8" w14:textId="77777777" w:rsidR="00400B04" w:rsidRDefault="00400B04" w:rsidP="00EF6E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B2854"/>
    <w:multiLevelType w:val="hybridMultilevel"/>
    <w:tmpl w:val="1290A17C"/>
    <w:lvl w:ilvl="0" w:tplc="B51EE720">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1" w15:restartNumberingAfterBreak="0">
    <w:nsid w:val="47C525F0"/>
    <w:multiLevelType w:val="hybridMultilevel"/>
    <w:tmpl w:val="481498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F5C4DFD"/>
    <w:multiLevelType w:val="hybridMultilevel"/>
    <w:tmpl w:val="B35C601A"/>
    <w:lvl w:ilvl="0" w:tplc="CABC335C">
      <w:start w:val="1"/>
      <w:numFmt w:val="decimal"/>
      <w:lvlText w:val="(%1)"/>
      <w:lvlJc w:val="left"/>
      <w:pPr>
        <w:ind w:left="810" w:hanging="45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DFC5FDB"/>
    <w:multiLevelType w:val="hybridMultilevel"/>
    <w:tmpl w:val="5C8850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84060813">
    <w:abstractNumId w:val="3"/>
  </w:num>
  <w:num w:numId="2" w16cid:durableId="1134760419">
    <w:abstractNumId w:val="2"/>
  </w:num>
  <w:num w:numId="3" w16cid:durableId="434251409">
    <w:abstractNumId w:val="1"/>
  </w:num>
  <w:num w:numId="4" w16cid:durableId="160240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DEA"/>
    <w:rsid w:val="0003481D"/>
    <w:rsid w:val="000661E2"/>
    <w:rsid w:val="001D7158"/>
    <w:rsid w:val="0023112E"/>
    <w:rsid w:val="002B34B6"/>
    <w:rsid w:val="002C2F97"/>
    <w:rsid w:val="00334018"/>
    <w:rsid w:val="00357DEA"/>
    <w:rsid w:val="003D350E"/>
    <w:rsid w:val="00400B04"/>
    <w:rsid w:val="005A500C"/>
    <w:rsid w:val="00642784"/>
    <w:rsid w:val="00647B94"/>
    <w:rsid w:val="00685454"/>
    <w:rsid w:val="006A2784"/>
    <w:rsid w:val="007815B7"/>
    <w:rsid w:val="00873272"/>
    <w:rsid w:val="008E6353"/>
    <w:rsid w:val="00905C24"/>
    <w:rsid w:val="00945545"/>
    <w:rsid w:val="00B76533"/>
    <w:rsid w:val="00BF12F0"/>
    <w:rsid w:val="00EA1C09"/>
    <w:rsid w:val="00EF6E2A"/>
    <w:rsid w:val="00FC27FB"/>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76306"/>
  <w15:chartTrackingRefBased/>
  <w15:docId w15:val="{A9887E74-FB5C-4119-AAA8-ED2BC11A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784"/>
  </w:style>
  <w:style w:type="paragraph" w:styleId="Heading1">
    <w:name w:val="heading 1"/>
    <w:basedOn w:val="Normal"/>
    <w:next w:val="Normal"/>
    <w:link w:val="Heading1Char"/>
    <w:uiPriority w:val="9"/>
    <w:qFormat/>
    <w:rsid w:val="00357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DEA"/>
    <w:rPr>
      <w:rFonts w:eastAsiaTheme="majorEastAsia" w:cstheme="majorBidi"/>
      <w:color w:val="272727" w:themeColor="text1" w:themeTint="D8"/>
    </w:rPr>
  </w:style>
  <w:style w:type="paragraph" w:styleId="Title">
    <w:name w:val="Title"/>
    <w:basedOn w:val="Normal"/>
    <w:next w:val="Normal"/>
    <w:link w:val="TitleChar"/>
    <w:uiPriority w:val="10"/>
    <w:qFormat/>
    <w:rsid w:val="00357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DEA"/>
    <w:pPr>
      <w:spacing w:before="160"/>
      <w:jc w:val="center"/>
    </w:pPr>
    <w:rPr>
      <w:i/>
      <w:iCs/>
      <w:color w:val="404040" w:themeColor="text1" w:themeTint="BF"/>
    </w:rPr>
  </w:style>
  <w:style w:type="character" w:customStyle="1" w:styleId="QuoteChar">
    <w:name w:val="Quote Char"/>
    <w:basedOn w:val="DefaultParagraphFont"/>
    <w:link w:val="Quote"/>
    <w:uiPriority w:val="29"/>
    <w:rsid w:val="00357DEA"/>
    <w:rPr>
      <w:i/>
      <w:iCs/>
      <w:color w:val="404040" w:themeColor="text1" w:themeTint="BF"/>
    </w:rPr>
  </w:style>
  <w:style w:type="paragraph" w:styleId="ListParagraph">
    <w:name w:val="List Paragraph"/>
    <w:basedOn w:val="Normal"/>
    <w:uiPriority w:val="34"/>
    <w:qFormat/>
    <w:rsid w:val="00357DEA"/>
    <w:pPr>
      <w:ind w:left="720"/>
      <w:contextualSpacing/>
    </w:pPr>
  </w:style>
  <w:style w:type="character" w:styleId="IntenseEmphasis">
    <w:name w:val="Intense Emphasis"/>
    <w:basedOn w:val="DefaultParagraphFont"/>
    <w:uiPriority w:val="21"/>
    <w:qFormat/>
    <w:rsid w:val="00357DEA"/>
    <w:rPr>
      <w:i/>
      <w:iCs/>
      <w:color w:val="0F4761" w:themeColor="accent1" w:themeShade="BF"/>
    </w:rPr>
  </w:style>
  <w:style w:type="paragraph" w:styleId="IntenseQuote">
    <w:name w:val="Intense Quote"/>
    <w:basedOn w:val="Normal"/>
    <w:next w:val="Normal"/>
    <w:link w:val="IntenseQuoteChar"/>
    <w:uiPriority w:val="30"/>
    <w:qFormat/>
    <w:rsid w:val="00357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DEA"/>
    <w:rPr>
      <w:i/>
      <w:iCs/>
      <w:color w:val="0F4761" w:themeColor="accent1" w:themeShade="BF"/>
    </w:rPr>
  </w:style>
  <w:style w:type="character" w:styleId="IntenseReference">
    <w:name w:val="Intense Reference"/>
    <w:basedOn w:val="DefaultParagraphFont"/>
    <w:uiPriority w:val="32"/>
    <w:qFormat/>
    <w:rsid w:val="00357DEA"/>
    <w:rPr>
      <w:b/>
      <w:bCs/>
      <w:smallCaps/>
      <w:color w:val="0F4761" w:themeColor="accent1" w:themeShade="BF"/>
      <w:spacing w:val="5"/>
    </w:rPr>
  </w:style>
  <w:style w:type="paragraph" w:styleId="Header">
    <w:name w:val="header"/>
    <w:basedOn w:val="Normal"/>
    <w:link w:val="HeaderChar"/>
    <w:uiPriority w:val="99"/>
    <w:unhideWhenUsed/>
    <w:rsid w:val="00EF6E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E2A"/>
  </w:style>
  <w:style w:type="paragraph" w:styleId="Footer">
    <w:name w:val="footer"/>
    <w:basedOn w:val="Normal"/>
    <w:link w:val="FooterChar"/>
    <w:uiPriority w:val="99"/>
    <w:unhideWhenUsed/>
    <w:rsid w:val="00EF6E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5821</Words>
  <Characters>33186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AIXTRON SE</Company>
  <LinksUpToDate>false</LinksUpToDate>
  <CharactersWithSpaces>38930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dc:creator>
  <cp:keywords/>
  <dc:description/>
  <cp:lastModifiedBy>Acaru, Silviu</cp:lastModifiedBy>
  <cp:revision>7</cp:revision>
  <dcterms:created xsi:type="dcterms:W3CDTF">2026-03-16T19:24:00Z</dcterms:created>
  <dcterms:modified xsi:type="dcterms:W3CDTF">2026-03-17T21:38:00Z</dcterms:modified>
</cp:coreProperties>
</file>