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2199" w14:textId="1B277AE8" w:rsidR="00FE5884" w:rsidRDefault="00FE5884" w:rsidP="00FE5884">
      <w:pPr>
        <w:spacing w:line="360" w:lineRule="auto"/>
        <w:rPr>
          <w:b/>
          <w:bCs/>
          <w:lang w:val="en-US"/>
        </w:rPr>
      </w:pPr>
      <w:r w:rsidRPr="00FE5884">
        <w:rPr>
          <w:b/>
          <w:bCs/>
          <w:lang w:val="en-US"/>
        </w:rPr>
        <w:t>Response to reviewers</w:t>
      </w:r>
    </w:p>
    <w:p w14:paraId="03B88DF0" w14:textId="77777777" w:rsidR="00FE5884" w:rsidRDefault="00FE5884" w:rsidP="00FE5884">
      <w:pPr>
        <w:spacing w:line="360" w:lineRule="auto"/>
        <w:rPr>
          <w:b/>
          <w:bCs/>
          <w:lang w:val="en-US"/>
        </w:rPr>
      </w:pPr>
    </w:p>
    <w:p w14:paraId="13D924E4" w14:textId="3D97E3A5" w:rsidR="00FE5884" w:rsidRDefault="00FE5884" w:rsidP="00FE5884">
      <w:pPr>
        <w:spacing w:line="360" w:lineRule="auto"/>
        <w:rPr>
          <w:lang w:val="nl-NL"/>
        </w:rPr>
      </w:pPr>
      <w:r w:rsidRPr="00FE5884">
        <w:rPr>
          <w:b/>
          <w:bCs/>
          <w:lang w:val="en-US"/>
        </w:rPr>
        <w:t>Reviewer #2:</w:t>
      </w:r>
      <w:r w:rsidRPr="00FE5884">
        <w:rPr>
          <w:lang w:val="en-US"/>
        </w:rPr>
        <w:t xml:space="preserve"> This manuscript develops ML models (including an ensemble/stacking approach) to predict glass transition temperature (</w:t>
      </w:r>
      <w:proofErr w:type="spellStart"/>
      <w:r w:rsidRPr="00FE5884">
        <w:rPr>
          <w:lang w:val="en-US"/>
        </w:rPr>
        <w:t>Tg</w:t>
      </w:r>
      <w:proofErr w:type="spellEnd"/>
      <w:r w:rsidRPr="00FE5884">
        <w:rPr>
          <w:lang w:val="en-US"/>
        </w:rPr>
        <w:t xml:space="preserve">) of lignin-based polyurethane materials using formulation and processing descriptors. The topic is timely and potentially useful for formulation screening. However, there are several methodological and framing issues that currently limit confidence in the reported performance and the "design/discovery" claims. </w:t>
      </w:r>
      <w:r w:rsidRPr="00FE5884">
        <w:rPr>
          <w:lang w:val="nl-NL"/>
        </w:rPr>
        <w:t xml:space="preserve">I list major concerns </w:t>
      </w:r>
      <w:proofErr w:type="spellStart"/>
      <w:r w:rsidRPr="00FE5884">
        <w:rPr>
          <w:lang w:val="nl-NL"/>
        </w:rPr>
        <w:t>and</w:t>
      </w:r>
      <w:proofErr w:type="spellEnd"/>
      <w:r w:rsidRPr="00FE5884">
        <w:rPr>
          <w:lang w:val="nl-NL"/>
        </w:rPr>
        <w:t xml:space="preserve"> </w:t>
      </w:r>
      <w:proofErr w:type="spellStart"/>
      <w:r w:rsidRPr="00FE5884">
        <w:rPr>
          <w:lang w:val="nl-NL"/>
        </w:rPr>
        <w:t>actionable</w:t>
      </w:r>
      <w:proofErr w:type="spellEnd"/>
      <w:r w:rsidRPr="00FE5884">
        <w:rPr>
          <w:lang w:val="nl-NL"/>
        </w:rPr>
        <w:t xml:space="preserve"> </w:t>
      </w:r>
      <w:proofErr w:type="spellStart"/>
      <w:r w:rsidRPr="00FE5884">
        <w:rPr>
          <w:lang w:val="nl-NL"/>
        </w:rPr>
        <w:t>revisions</w:t>
      </w:r>
      <w:proofErr w:type="spellEnd"/>
      <w:r w:rsidRPr="00FE5884">
        <w:rPr>
          <w:lang w:val="nl-NL"/>
        </w:rPr>
        <w:t xml:space="preserve"> below.</w:t>
      </w:r>
    </w:p>
    <w:p w14:paraId="33E88670" w14:textId="77777777" w:rsidR="00FE5884" w:rsidRDefault="00FE5884" w:rsidP="00FE5884">
      <w:pPr>
        <w:spacing w:line="360" w:lineRule="auto"/>
        <w:rPr>
          <w:lang w:val="nl-NL"/>
        </w:rPr>
      </w:pPr>
    </w:p>
    <w:p w14:paraId="05B81371" w14:textId="77777777" w:rsidR="00FE5884" w:rsidRDefault="00FE5884" w:rsidP="00FE5884">
      <w:pPr>
        <w:spacing w:line="360" w:lineRule="auto"/>
        <w:rPr>
          <w:lang w:val="en-US"/>
        </w:rPr>
      </w:pPr>
      <w:r w:rsidRPr="00FE5884">
        <w:rPr>
          <w:b/>
          <w:bCs/>
          <w:lang w:val="en-US"/>
        </w:rPr>
        <w:t>5.</w:t>
      </w:r>
      <w:r w:rsidRPr="00FE5884">
        <w:rPr>
          <w:lang w:val="en-US"/>
        </w:rPr>
        <w:t>      Strengthen the mechanistic discussion with at least one experimentally grounded link supporting why the model's learned relationships are physically meaningful.</w:t>
      </w:r>
    </w:p>
    <w:p w14:paraId="69B5C647" w14:textId="77777777" w:rsidR="00FE5884" w:rsidRDefault="00FE5884" w:rsidP="00FE5884">
      <w:pPr>
        <w:spacing w:line="360" w:lineRule="auto"/>
        <w:rPr>
          <w:lang w:val="en-US"/>
        </w:rPr>
      </w:pPr>
    </w:p>
    <w:p w14:paraId="05B5E041" w14:textId="4E36F071" w:rsidR="00FE5884" w:rsidRDefault="00FE5884" w:rsidP="00FE5884">
      <w:pPr>
        <w:spacing w:line="360" w:lineRule="auto"/>
        <w:rPr>
          <w:color w:val="002E56" w:themeColor="accent1"/>
        </w:rPr>
      </w:pPr>
      <w:r w:rsidRPr="00FE5884">
        <w:rPr>
          <w:color w:val="002E56" w:themeColor="accent1"/>
        </w:rPr>
        <w:t xml:space="preserve">We thank the reviewer for this important point. We have now added a dedicated subsection in the </w:t>
      </w:r>
      <w:r w:rsidRPr="00FE5884">
        <w:rPr>
          <w:b/>
          <w:bCs/>
          <w:i/>
          <w:iCs/>
          <w:color w:val="002E56" w:themeColor="accent1"/>
        </w:rPr>
        <w:t>Results and Discussion</w:t>
      </w:r>
      <w:r w:rsidRPr="00FE5884">
        <w:rPr>
          <w:color w:val="002E56" w:themeColor="accent1"/>
        </w:rPr>
        <w:t xml:space="preserve"> that explicitly connects the model’s key predictive features (lignin </w:t>
      </w:r>
      <w:proofErr w:type="spellStart"/>
      <w:r w:rsidRPr="00FE5884">
        <w:rPr>
          <w:color w:val="002E56" w:themeColor="accent1"/>
        </w:rPr>
        <w:t>wt</w:t>
      </w:r>
      <w:proofErr w:type="spellEnd"/>
      <w:r w:rsidRPr="00FE5884">
        <w:rPr>
          <w:color w:val="002E56" w:themeColor="accent1"/>
        </w:rPr>
        <w:t>%, PTHF molecular weight, NCO/OH ratio, isocyanate functionality, swelling ratio) to established polymer physics concepts such as crosslink density, chain mobility, and free volume theory.</w:t>
      </w:r>
      <w:r>
        <w:rPr>
          <w:color w:val="002E56" w:themeColor="accent1"/>
        </w:rPr>
        <w:t xml:space="preserve"> The </w:t>
      </w:r>
      <w:r w:rsidR="00981F4B">
        <w:rPr>
          <w:color w:val="002E56" w:themeColor="accent1"/>
        </w:rPr>
        <w:t>addition</w:t>
      </w:r>
      <w:r>
        <w:rPr>
          <w:color w:val="002E56" w:themeColor="accent1"/>
        </w:rPr>
        <w:t xml:space="preserve"> is highlighted in </w:t>
      </w:r>
      <w:r w:rsidRPr="00FE5884">
        <w:rPr>
          <w:color w:val="002E56" w:themeColor="accent1"/>
          <w:highlight w:val="yellow"/>
        </w:rPr>
        <w:t>yellow</w:t>
      </w:r>
      <w:r w:rsidR="00981F4B">
        <w:rPr>
          <w:color w:val="002E56" w:themeColor="accent1"/>
        </w:rPr>
        <w:t xml:space="preserve"> at </w:t>
      </w:r>
      <w:r w:rsidR="00981F4B" w:rsidRPr="00981F4B">
        <w:rPr>
          <w:color w:val="002E56" w:themeColor="accent1"/>
        </w:rPr>
        <w:t>the end of Section 3.3 “</w:t>
      </w:r>
      <w:r w:rsidR="00981F4B" w:rsidRPr="00144B34">
        <w:rPr>
          <w:b/>
          <w:bCs/>
          <w:color w:val="002E56" w:themeColor="accent1"/>
        </w:rPr>
        <w:t xml:space="preserve">Mapping for Model </w:t>
      </w:r>
      <w:proofErr w:type="spellStart"/>
      <w:r w:rsidR="00981F4B" w:rsidRPr="00144B34">
        <w:rPr>
          <w:b/>
          <w:bCs/>
          <w:color w:val="002E56" w:themeColor="accent1"/>
        </w:rPr>
        <w:t>Behavior</w:t>
      </w:r>
      <w:proofErr w:type="spellEnd"/>
      <w:r w:rsidR="00981F4B" w:rsidRPr="00981F4B">
        <w:rPr>
          <w:color w:val="002E56" w:themeColor="accent1"/>
        </w:rPr>
        <w:t>”</w:t>
      </w:r>
      <w:r w:rsidR="00981F4B">
        <w:rPr>
          <w:color w:val="002E56" w:themeColor="accent1"/>
        </w:rPr>
        <w:t>:</w:t>
      </w:r>
    </w:p>
    <w:p w14:paraId="0801C9D4" w14:textId="7BBC285C" w:rsidR="00FE5884" w:rsidRDefault="00FE5884" w:rsidP="00FE5884">
      <w:pPr>
        <w:spacing w:line="360" w:lineRule="auto"/>
        <w:rPr>
          <w:color w:val="002E56" w:themeColor="accent1"/>
        </w:rPr>
      </w:pPr>
      <w:r w:rsidRPr="00FE5884">
        <w:rPr>
          <w:color w:val="002E56" w:themeColor="accent1"/>
        </w:rPr>
        <w:t>“</w:t>
      </w:r>
      <w:r w:rsidRPr="005C6B41">
        <w:rPr>
          <w:color w:val="002E56" w:themeColor="accent1"/>
          <w:highlight w:val="yellow"/>
        </w:rPr>
        <w:t>The feature importance trends identified by the ensemble model align with well</w:t>
      </w:r>
      <w:r w:rsidRPr="005C6B41">
        <w:rPr>
          <w:color w:val="002E56" w:themeColor="accent1"/>
          <w:highlight w:val="yellow"/>
        </w:rPr>
        <w:noBreakHyphen/>
        <w:t xml:space="preserve">established polymer physics principles. Increasing lignin content, a rigid and highly aromatic macromolecule, reduces chain mobility and increases the effective crosslink density, which is consistent with the observed rise in </w:t>
      </w:r>
      <w:proofErr w:type="spellStart"/>
      <w:r w:rsidRPr="005C6B41">
        <w:rPr>
          <w:color w:val="002E56" w:themeColor="accent1"/>
          <w:highlight w:val="yellow"/>
        </w:rPr>
        <w:t>Tg</w:t>
      </w:r>
      <w:proofErr w:type="spellEnd"/>
      <w:r w:rsidRPr="005C6B41">
        <w:rPr>
          <w:color w:val="002E56" w:themeColor="accent1"/>
          <w:highlight w:val="yellow"/>
        </w:rPr>
        <w:t>. Conversely, higher</w:t>
      </w:r>
      <w:r w:rsidRPr="005C6B41">
        <w:rPr>
          <w:color w:val="002E56" w:themeColor="accent1"/>
          <w:highlight w:val="yellow"/>
        </w:rPr>
        <w:noBreakHyphen/>
        <w:t>molecular</w:t>
      </w:r>
      <w:r w:rsidRPr="005C6B41">
        <w:rPr>
          <w:color w:val="002E56" w:themeColor="accent1"/>
          <w:highlight w:val="yellow"/>
        </w:rPr>
        <w:noBreakHyphen/>
        <w:t xml:space="preserve">weight PTHF introduces longer, more flexible soft segments, increasing free volume and lowering </w:t>
      </w:r>
      <w:proofErr w:type="spellStart"/>
      <w:r w:rsidRPr="005C6B41">
        <w:rPr>
          <w:color w:val="002E56" w:themeColor="accent1"/>
          <w:highlight w:val="yellow"/>
        </w:rPr>
        <w:t>Tg</w:t>
      </w:r>
      <w:proofErr w:type="spellEnd"/>
      <w:r w:rsidRPr="005C6B41">
        <w:rPr>
          <w:color w:val="002E56" w:themeColor="accent1"/>
          <w:highlight w:val="yellow"/>
        </w:rPr>
        <w:t xml:space="preserve">. The NCO/OH ratio and the isocyanate functionality directly influence the formation of urethane and allophanate crosslinks; higher ratios and the use of HDI trimer (f ≈ 3.5) increase network connectivity, thereby restricting segmental motion and elevating </w:t>
      </w:r>
      <w:proofErr w:type="spellStart"/>
      <w:r w:rsidRPr="005C6B41">
        <w:rPr>
          <w:color w:val="002E56" w:themeColor="accent1"/>
          <w:highlight w:val="yellow"/>
        </w:rPr>
        <w:t>Tg</w:t>
      </w:r>
      <w:proofErr w:type="spellEnd"/>
      <w:r w:rsidRPr="005C6B41">
        <w:rPr>
          <w:color w:val="002E56" w:themeColor="accent1"/>
          <w:highlight w:val="yellow"/>
        </w:rPr>
        <w:t xml:space="preserve">. The swelling ratio, included as an experimentally derived proxy for network density, shows an inverse correlation with </w:t>
      </w:r>
      <w:proofErr w:type="spellStart"/>
      <w:r w:rsidRPr="005C6B41">
        <w:rPr>
          <w:color w:val="002E56" w:themeColor="accent1"/>
          <w:highlight w:val="yellow"/>
        </w:rPr>
        <w:t>Tg</w:t>
      </w:r>
      <w:proofErr w:type="spellEnd"/>
      <w:r w:rsidRPr="005C6B41">
        <w:rPr>
          <w:color w:val="002E56" w:themeColor="accent1"/>
          <w:highlight w:val="yellow"/>
        </w:rPr>
        <w:t xml:space="preserve">: highly swollen networks correspond to lower crosslink density and thus lower </w:t>
      </w:r>
      <w:proofErr w:type="spellStart"/>
      <w:r w:rsidRPr="005C6B41">
        <w:rPr>
          <w:color w:val="002E56" w:themeColor="accent1"/>
          <w:highlight w:val="yellow"/>
        </w:rPr>
        <w:t>Tg</w:t>
      </w:r>
      <w:proofErr w:type="spellEnd"/>
      <w:r w:rsidRPr="005C6B41">
        <w:rPr>
          <w:color w:val="002E56" w:themeColor="accent1"/>
          <w:highlight w:val="yellow"/>
        </w:rPr>
        <w:t>. These mechanistic correlations demonstrate that the model captures physically meaningful structure–property relationships rather than relying on statistical artifacts.</w:t>
      </w:r>
      <w:r w:rsidRPr="00FE5884">
        <w:rPr>
          <w:color w:val="002E56" w:themeColor="accent1"/>
        </w:rPr>
        <w:t>”</w:t>
      </w:r>
    </w:p>
    <w:p w14:paraId="418CDB6C" w14:textId="41FF99A3" w:rsidR="00FE5884" w:rsidRPr="00FE5884" w:rsidRDefault="00FE5884" w:rsidP="00FE5884">
      <w:pPr>
        <w:rPr>
          <w:color w:val="002E56" w:themeColor="accent1"/>
          <w:lang w:val="en-US"/>
        </w:rPr>
      </w:pPr>
      <w:r w:rsidRPr="00FE5884">
        <w:rPr>
          <w:color w:val="002E56" w:themeColor="accent1"/>
          <w:lang w:val="en-US"/>
        </w:rPr>
        <w:br/>
      </w:r>
    </w:p>
    <w:p w14:paraId="1BC230C8" w14:textId="77777777" w:rsidR="00CE1C67" w:rsidRDefault="00CE1C67" w:rsidP="00CE1C67">
      <w:pPr>
        <w:spacing w:line="360" w:lineRule="auto"/>
        <w:rPr>
          <w:b/>
          <w:bCs/>
          <w:lang w:val="en-US"/>
        </w:rPr>
      </w:pPr>
      <w:r w:rsidRPr="00FE5884">
        <w:rPr>
          <w:b/>
          <w:bCs/>
          <w:lang w:val="en-US"/>
        </w:rPr>
        <w:t>Reviewer #</w:t>
      </w:r>
      <w:r>
        <w:rPr>
          <w:b/>
          <w:bCs/>
          <w:lang w:val="en-US"/>
        </w:rPr>
        <w:t>3</w:t>
      </w:r>
      <w:r w:rsidRPr="00FE5884">
        <w:rPr>
          <w:b/>
          <w:bCs/>
          <w:lang w:val="en-US"/>
        </w:rPr>
        <w:t>:</w:t>
      </w:r>
      <w:r w:rsidRPr="00CE1C67">
        <w:rPr>
          <w:lang w:val="en-US"/>
        </w:rPr>
        <w:t xml:space="preserve"> </w:t>
      </w:r>
      <w:r w:rsidRPr="00CE1C67">
        <w:rPr>
          <w:lang w:val="en-US"/>
        </w:rPr>
        <w:t>This manuscript (MADE-D-25-05345) proposed a machine learning ensemble model to predict the glass</w:t>
      </w:r>
      <w:r w:rsidRPr="00CE1C67">
        <w:rPr>
          <w:lang w:val="en-US"/>
        </w:rPr>
        <w:noBreakHyphen/>
        <w:t>transition temperature (</w:t>
      </w:r>
      <w:proofErr w:type="spellStart"/>
      <w:r w:rsidRPr="00CE1C67">
        <w:rPr>
          <w:lang w:val="en-US"/>
        </w:rPr>
        <w:t>Tg</w:t>
      </w:r>
      <w:proofErr w:type="spellEnd"/>
      <w:r w:rsidRPr="00CE1C67">
        <w:rPr>
          <w:lang w:val="en-US"/>
        </w:rPr>
        <w:t>) of lignin</w:t>
      </w:r>
      <w:r w:rsidRPr="00CE1C67">
        <w:rPr>
          <w:lang w:val="en-US"/>
        </w:rPr>
        <w:noBreakHyphen/>
        <w:t>based polyurethanes (lignin-PUs) using a limited experimental dataset. The proposed stacking ensemble achieves a mean absolute error of 6.66 °C on the validation set, and the development of a user</w:t>
      </w:r>
      <w:r w:rsidRPr="00CE1C67">
        <w:rPr>
          <w:lang w:val="en-US"/>
        </w:rPr>
        <w:noBreakHyphen/>
        <w:t xml:space="preserve">friendly interface for formulation exploration represents a tangible step toward practical application. However, the manuscript in current form falls short of the expected conceptual depth and broader scientific impact required for publication in a </w:t>
      </w:r>
      <w:r w:rsidRPr="00CE1C67">
        <w:rPr>
          <w:lang w:val="en-US"/>
        </w:rPr>
        <w:lastRenderedPageBreak/>
        <w:t>journal focusing on materials design. The main weaknesses are the inadequate justification for choosing lignin</w:t>
      </w:r>
      <w:r w:rsidRPr="00CE1C67">
        <w:rPr>
          <w:lang w:val="en-US"/>
        </w:rPr>
        <w:noBreakHyphen/>
        <w:t>based polyurethanes as the model system, and the tenuous link between the model outputs and polymer physical chemistry principles. The authors need improve significantly the manuscript to meet the requirements of Materials &amp; Design.</w:t>
      </w:r>
    </w:p>
    <w:p w14:paraId="485B3204" w14:textId="77777777" w:rsidR="00CE1C67" w:rsidRDefault="00CE1C67" w:rsidP="00CE1C67">
      <w:pPr>
        <w:spacing w:line="360" w:lineRule="auto"/>
        <w:rPr>
          <w:b/>
          <w:bCs/>
          <w:lang w:val="en-US"/>
        </w:rPr>
      </w:pPr>
    </w:p>
    <w:p w14:paraId="3114AC6B" w14:textId="77777777" w:rsidR="00CE1C67" w:rsidRDefault="00CE1C67" w:rsidP="00CE1C67">
      <w:pPr>
        <w:spacing w:line="360" w:lineRule="auto"/>
        <w:rPr>
          <w:lang w:val="en-US"/>
        </w:rPr>
      </w:pPr>
      <w:r w:rsidRPr="00CE1C67">
        <w:rPr>
          <w:b/>
          <w:bCs/>
          <w:lang w:val="en-US"/>
        </w:rPr>
        <w:t xml:space="preserve">1. </w:t>
      </w:r>
      <w:r w:rsidRPr="00CE1C67">
        <w:rPr>
          <w:lang w:val="en-US"/>
        </w:rPr>
        <w:t xml:space="preserve">As a heterogeneous polymer, lignin exhibits significant variations in molecular weight and basic structural units among different sources.  How can we ensure precise prediction of </w:t>
      </w:r>
      <w:proofErr w:type="spellStart"/>
      <w:r w:rsidRPr="00CE1C67">
        <w:rPr>
          <w:lang w:val="en-US"/>
        </w:rPr>
        <w:t>Tg</w:t>
      </w:r>
      <w:proofErr w:type="spellEnd"/>
      <w:r w:rsidRPr="00CE1C67">
        <w:rPr>
          <w:lang w:val="en-US"/>
        </w:rPr>
        <w:t xml:space="preserve"> of lignin-PUs?</w:t>
      </w:r>
    </w:p>
    <w:p w14:paraId="35978CEE" w14:textId="21E766EF" w:rsidR="00C83907" w:rsidRPr="00C83907" w:rsidRDefault="00C83907" w:rsidP="00C83907">
      <w:pPr>
        <w:spacing w:line="360" w:lineRule="auto"/>
        <w:rPr>
          <w:color w:val="002E56" w:themeColor="accent1"/>
        </w:rPr>
      </w:pPr>
      <w:r w:rsidRPr="00C83907">
        <w:rPr>
          <w:color w:val="002E56" w:themeColor="accent1"/>
        </w:rPr>
        <w:t xml:space="preserve">We thank the reviewer for raising this important point. Lignin heterogeneity is indeed a major challenge for predictive </w:t>
      </w:r>
      <w:r w:rsidRPr="00C83907">
        <w:rPr>
          <w:color w:val="002E56" w:themeColor="accent1"/>
        </w:rPr>
        <w:t>modelling</w:t>
      </w:r>
      <w:r w:rsidRPr="00C83907">
        <w:rPr>
          <w:color w:val="002E56" w:themeColor="accent1"/>
        </w:rPr>
        <w:t>. To minimize this variability, we deliberately selected Kraft lignin, the most widely available industrial lignin produced globally as a by</w:t>
      </w:r>
      <w:r w:rsidRPr="00C83907">
        <w:rPr>
          <w:rFonts w:ascii="Cambria Math" w:hAnsi="Cambria Math" w:cs="Cambria Math"/>
          <w:color w:val="002E56" w:themeColor="accent1"/>
        </w:rPr>
        <w:t>‑</w:t>
      </w:r>
      <w:r w:rsidRPr="00C83907">
        <w:rPr>
          <w:color w:val="002E56" w:themeColor="accent1"/>
        </w:rPr>
        <w:t>product of the paper industry. Furthermore, we applied a simple solvent</w:t>
      </w:r>
      <w:r w:rsidRPr="00C83907">
        <w:rPr>
          <w:rFonts w:ascii="Cambria Math" w:hAnsi="Cambria Math" w:cs="Cambria Math"/>
          <w:color w:val="002E56" w:themeColor="accent1"/>
        </w:rPr>
        <w:t>‑</w:t>
      </w:r>
      <w:r w:rsidRPr="00C83907">
        <w:rPr>
          <w:color w:val="002E56" w:themeColor="accent1"/>
        </w:rPr>
        <w:t>extraction upgrade step, which is a well</w:t>
      </w:r>
      <w:r w:rsidRPr="00C83907">
        <w:rPr>
          <w:rFonts w:ascii="Cambria Math" w:hAnsi="Cambria Math" w:cs="Cambria Math"/>
          <w:color w:val="002E56" w:themeColor="accent1"/>
        </w:rPr>
        <w:t>‑</w:t>
      </w:r>
      <w:r w:rsidRPr="00C83907">
        <w:rPr>
          <w:color w:val="002E56" w:themeColor="accent1"/>
        </w:rPr>
        <w:t>established method for isolating the soluble, well</w:t>
      </w:r>
      <w:r w:rsidRPr="00C83907">
        <w:rPr>
          <w:rFonts w:ascii="Cambria Math" w:hAnsi="Cambria Math" w:cs="Cambria Math"/>
          <w:color w:val="002E56" w:themeColor="accent1"/>
        </w:rPr>
        <w:t>‑</w:t>
      </w:r>
      <w:r w:rsidRPr="00C83907">
        <w:rPr>
          <w:color w:val="002E56" w:themeColor="accent1"/>
        </w:rPr>
        <w:t>defined Kraft lignin fraction (EKL). This procedure significantly improves batch</w:t>
      </w:r>
      <w:r w:rsidRPr="00C83907">
        <w:rPr>
          <w:rFonts w:ascii="Cambria Math" w:hAnsi="Cambria Math" w:cs="Cambria Math"/>
          <w:color w:val="002E56" w:themeColor="accent1"/>
        </w:rPr>
        <w:t>‑</w:t>
      </w:r>
      <w:r w:rsidRPr="00C83907">
        <w:rPr>
          <w:color w:val="002E56" w:themeColor="accent1"/>
        </w:rPr>
        <w:t>to</w:t>
      </w:r>
      <w:r w:rsidRPr="00C83907">
        <w:rPr>
          <w:rFonts w:ascii="Cambria Math" w:hAnsi="Cambria Math" w:cs="Cambria Math"/>
          <w:color w:val="002E56" w:themeColor="accent1"/>
        </w:rPr>
        <w:t>‑</w:t>
      </w:r>
      <w:r w:rsidRPr="00C83907">
        <w:rPr>
          <w:color w:val="002E56" w:themeColor="accent1"/>
        </w:rPr>
        <w:t>batch reproducibility by narrowing the molecular weight distribution and homogenizing the hydroxyl</w:t>
      </w:r>
      <w:r w:rsidRPr="00C83907">
        <w:rPr>
          <w:rFonts w:ascii="Cambria Math" w:hAnsi="Cambria Math" w:cs="Cambria Math"/>
          <w:color w:val="002E56" w:themeColor="accent1"/>
        </w:rPr>
        <w:t>‑</w:t>
      </w:r>
      <w:r w:rsidRPr="00C83907">
        <w:rPr>
          <w:color w:val="002E56" w:themeColor="accent1"/>
        </w:rPr>
        <w:t>group content</w:t>
      </w:r>
      <w:r>
        <w:rPr>
          <w:color w:val="002E56" w:themeColor="accent1"/>
        </w:rPr>
        <w:t xml:space="preserve">, </w:t>
      </w:r>
      <w:r w:rsidRPr="00C83907">
        <w:rPr>
          <w:color w:val="002E56" w:themeColor="accent1"/>
        </w:rPr>
        <w:t>two parameters that strongly influence polyurethane network formation.</w:t>
      </w:r>
    </w:p>
    <w:p w14:paraId="02CEB400" w14:textId="04E2DF3B" w:rsidR="00CE1C67" w:rsidRDefault="00C83907" w:rsidP="00C83907">
      <w:pPr>
        <w:spacing w:line="360" w:lineRule="auto"/>
        <w:rPr>
          <w:color w:val="002E56" w:themeColor="accent1"/>
        </w:rPr>
      </w:pPr>
      <w:r w:rsidRPr="00C83907">
        <w:rPr>
          <w:color w:val="002E56" w:themeColor="accent1"/>
        </w:rPr>
        <w:t xml:space="preserve">By using this lignin source and upgrade technique, we ensure that the observed variation in </w:t>
      </w:r>
      <w:proofErr w:type="spellStart"/>
      <w:r w:rsidRPr="00C83907">
        <w:rPr>
          <w:color w:val="002E56" w:themeColor="accent1"/>
        </w:rPr>
        <w:t>Tg</w:t>
      </w:r>
      <w:proofErr w:type="spellEnd"/>
      <w:r w:rsidRPr="00C83907">
        <w:rPr>
          <w:color w:val="002E56" w:themeColor="accent1"/>
        </w:rPr>
        <w:t xml:space="preserve"> arises from the controlled formulation parameters (lignin </w:t>
      </w:r>
      <w:proofErr w:type="spellStart"/>
      <w:r w:rsidRPr="00C83907">
        <w:rPr>
          <w:color w:val="002E56" w:themeColor="accent1"/>
        </w:rPr>
        <w:t>wt</w:t>
      </w:r>
      <w:proofErr w:type="spellEnd"/>
      <w:r w:rsidRPr="00C83907">
        <w:rPr>
          <w:color w:val="002E56" w:themeColor="accent1"/>
        </w:rPr>
        <w:t xml:space="preserve">%, PTHF molecular weight, NCO/OH ratio, isocyanate functionality, etc.) rather than from uncontrolled lignin variability. This controlled chemical space enables precise </w:t>
      </w:r>
      <w:proofErr w:type="spellStart"/>
      <w:r w:rsidRPr="00C83907">
        <w:rPr>
          <w:color w:val="002E56" w:themeColor="accent1"/>
        </w:rPr>
        <w:t>Tg</w:t>
      </w:r>
      <w:proofErr w:type="spellEnd"/>
      <w:r w:rsidRPr="00C83907">
        <w:rPr>
          <w:color w:val="002E56" w:themeColor="accent1"/>
        </w:rPr>
        <w:t xml:space="preserve"> prediction within the scope of this study. We now clarify this explicitly in the manuscript</w:t>
      </w:r>
      <w:r>
        <w:rPr>
          <w:color w:val="002E56" w:themeColor="accent1"/>
        </w:rPr>
        <w:t xml:space="preserve"> highlighted in </w:t>
      </w:r>
      <w:r w:rsidRPr="00C83907">
        <w:rPr>
          <w:color w:val="002E56" w:themeColor="accent1"/>
          <w:highlight w:val="yellow"/>
        </w:rPr>
        <w:t>yellow</w:t>
      </w:r>
      <w:r w:rsidRPr="00C83907">
        <w:rPr>
          <w:color w:val="002E56" w:themeColor="accent1"/>
        </w:rPr>
        <w:t>. We also acknowledge that extending the model to lignins from different botanical or processing origins would require additional lignin</w:t>
      </w:r>
      <w:r w:rsidRPr="00C83907">
        <w:rPr>
          <w:rFonts w:ascii="Cambria Math" w:hAnsi="Cambria Math" w:cs="Cambria Math"/>
          <w:color w:val="002E56" w:themeColor="accent1"/>
        </w:rPr>
        <w:t>‑</w:t>
      </w:r>
      <w:r w:rsidRPr="00C83907">
        <w:rPr>
          <w:color w:val="002E56" w:themeColor="accent1"/>
        </w:rPr>
        <w:t xml:space="preserve">specific descriptors </w:t>
      </w:r>
      <w:r>
        <w:rPr>
          <w:color w:val="002E56" w:themeColor="accent1"/>
        </w:rPr>
        <w:t>such as:</w:t>
      </w:r>
    </w:p>
    <w:p w14:paraId="48FC974C" w14:textId="4C758DE4" w:rsidR="00C83907" w:rsidRPr="00C83907" w:rsidRDefault="00C83907" w:rsidP="00C83907">
      <w:pPr>
        <w:pStyle w:val="ListParagraph"/>
        <w:numPr>
          <w:ilvl w:val="0"/>
          <w:numId w:val="4"/>
        </w:numPr>
        <w:spacing w:line="360" w:lineRule="auto"/>
        <w:rPr>
          <w:color w:val="002E56" w:themeColor="accent1"/>
          <w:lang w:val="en-BE"/>
        </w:rPr>
      </w:pPr>
      <w:r w:rsidRPr="00C83907">
        <w:rPr>
          <w:color w:val="002E56" w:themeColor="accent1"/>
          <w:lang w:val="en-BE"/>
        </w:rPr>
        <w:t>Number</w:t>
      </w:r>
      <w:r w:rsidRPr="00C83907">
        <w:rPr>
          <w:color w:val="002E56" w:themeColor="accent1"/>
          <w:lang w:val="en-BE"/>
        </w:rPr>
        <w:noBreakHyphen/>
        <w:t>average molecular weight (Mn)</w:t>
      </w:r>
      <w:r>
        <w:rPr>
          <w:color w:val="002E56" w:themeColor="accent1"/>
          <w:lang w:val="en-BE"/>
        </w:rPr>
        <w:t xml:space="preserve"> or weight-average molecular weight (Mw)</w:t>
      </w:r>
    </w:p>
    <w:p w14:paraId="1D4529D6" w14:textId="1FAD9C74" w:rsidR="00C83907" w:rsidRPr="00C83907" w:rsidRDefault="00C83907" w:rsidP="00C83907">
      <w:pPr>
        <w:pStyle w:val="ListParagraph"/>
        <w:numPr>
          <w:ilvl w:val="0"/>
          <w:numId w:val="4"/>
        </w:numPr>
        <w:spacing w:line="360" w:lineRule="auto"/>
        <w:rPr>
          <w:color w:val="002E56" w:themeColor="accent1"/>
          <w:lang w:val="en-BE"/>
        </w:rPr>
      </w:pPr>
      <w:r>
        <w:rPr>
          <w:color w:val="002E56" w:themeColor="accent1"/>
          <w:lang w:val="en-BE"/>
        </w:rPr>
        <w:t>Polyd</w:t>
      </w:r>
      <w:r w:rsidRPr="00C83907">
        <w:rPr>
          <w:color w:val="002E56" w:themeColor="accent1"/>
          <w:lang w:val="en-BE"/>
        </w:rPr>
        <w:t>ispersity (Ð)</w:t>
      </w:r>
    </w:p>
    <w:p w14:paraId="0162A773" w14:textId="1E6B1AF5" w:rsidR="00C83907" w:rsidRPr="00C83907" w:rsidRDefault="00C83907" w:rsidP="00C83907">
      <w:pPr>
        <w:pStyle w:val="ListParagraph"/>
        <w:numPr>
          <w:ilvl w:val="0"/>
          <w:numId w:val="4"/>
        </w:numPr>
        <w:spacing w:line="360" w:lineRule="auto"/>
        <w:rPr>
          <w:color w:val="002E56" w:themeColor="accent1"/>
          <w:lang w:val="en-BE"/>
        </w:rPr>
      </w:pPr>
      <w:r w:rsidRPr="00C83907">
        <w:rPr>
          <w:color w:val="002E56" w:themeColor="accent1"/>
          <w:lang w:val="en-BE"/>
        </w:rPr>
        <w:t>Aliphatic and total hydroxyl content (mmol/g)</w:t>
      </w:r>
    </w:p>
    <w:p w14:paraId="40BE9CCD" w14:textId="171EA632" w:rsidR="00C83907" w:rsidRDefault="00C83907" w:rsidP="00C83907">
      <w:pPr>
        <w:pStyle w:val="ListParagraph"/>
        <w:numPr>
          <w:ilvl w:val="0"/>
          <w:numId w:val="4"/>
        </w:numPr>
        <w:spacing w:line="360" w:lineRule="auto"/>
        <w:rPr>
          <w:color w:val="002E56" w:themeColor="accent1"/>
          <w:lang w:val="en-BE"/>
        </w:rPr>
      </w:pPr>
      <w:proofErr w:type="spellStart"/>
      <w:r w:rsidRPr="00C83907">
        <w:rPr>
          <w:color w:val="002E56" w:themeColor="accent1"/>
          <w:lang w:val="en-BE"/>
        </w:rPr>
        <w:t>Syringyl</w:t>
      </w:r>
      <w:proofErr w:type="spellEnd"/>
      <w:r w:rsidRPr="00C83907">
        <w:rPr>
          <w:color w:val="002E56" w:themeColor="accent1"/>
          <w:lang w:val="en-BE"/>
        </w:rPr>
        <w:t>/Guaiacyl/Hydroxyphenyl (S/G/H) unit ratios</w:t>
      </w:r>
    </w:p>
    <w:p w14:paraId="5BDF59BE" w14:textId="76A560AD" w:rsidR="00C83907" w:rsidRDefault="00C83907" w:rsidP="00C83907">
      <w:pPr>
        <w:spacing w:line="360" w:lineRule="auto"/>
        <w:rPr>
          <w:color w:val="002E56" w:themeColor="accent1"/>
          <w:lang w:val="en-BE"/>
        </w:rPr>
      </w:pPr>
      <w:r w:rsidRPr="00C83907">
        <w:rPr>
          <w:color w:val="002E56" w:themeColor="accent1"/>
          <w:lang w:val="en-BE"/>
        </w:rPr>
        <w:t>Alternatively, the model could be retrained or fine</w:t>
      </w:r>
      <w:r w:rsidRPr="00C83907">
        <w:rPr>
          <w:rFonts w:ascii="Cambria Math" w:hAnsi="Cambria Math" w:cs="Cambria Math"/>
          <w:color w:val="002E56" w:themeColor="accent1"/>
          <w:lang w:val="en-BE"/>
        </w:rPr>
        <w:t>‑</w:t>
      </w:r>
      <w:r w:rsidRPr="00C83907">
        <w:rPr>
          <w:color w:val="002E56" w:themeColor="accent1"/>
          <w:lang w:val="en-BE"/>
        </w:rPr>
        <w:t>tuned using transfer</w:t>
      </w:r>
      <w:r w:rsidRPr="00C83907">
        <w:rPr>
          <w:rFonts w:ascii="Cambria Math" w:hAnsi="Cambria Math" w:cs="Cambria Math"/>
          <w:color w:val="002E56" w:themeColor="accent1"/>
          <w:lang w:val="en-BE"/>
        </w:rPr>
        <w:t>‑</w:t>
      </w:r>
      <w:r w:rsidRPr="00C83907">
        <w:rPr>
          <w:color w:val="002E56" w:themeColor="accent1"/>
          <w:lang w:val="en-BE"/>
        </w:rPr>
        <w:t>learning strategies once such descriptors are available</w:t>
      </w:r>
      <w:r>
        <w:rPr>
          <w:color w:val="002E56" w:themeColor="accent1"/>
          <w:lang w:val="en-BE"/>
        </w:rPr>
        <w:t>, but this is not the scope for this study.</w:t>
      </w:r>
    </w:p>
    <w:p w14:paraId="1F279CC0" w14:textId="32E44964" w:rsidR="00C83907" w:rsidRDefault="00C83907" w:rsidP="00C83907">
      <w:pPr>
        <w:spacing w:line="360" w:lineRule="auto"/>
        <w:rPr>
          <w:color w:val="002E56" w:themeColor="accent1"/>
        </w:rPr>
      </w:pPr>
      <w:r>
        <w:rPr>
          <w:color w:val="002E56" w:themeColor="accent1"/>
        </w:rPr>
        <w:t xml:space="preserve">In </w:t>
      </w:r>
      <w:r w:rsidRPr="00C83907">
        <w:rPr>
          <w:color w:val="002E56" w:themeColor="accent1"/>
        </w:rPr>
        <w:t>Section 2.1 “Lignin PU Experiments”</w:t>
      </w:r>
      <w:r>
        <w:rPr>
          <w:color w:val="002E56" w:themeColor="accent1"/>
        </w:rPr>
        <w:t>.</w:t>
      </w:r>
    </w:p>
    <w:p w14:paraId="099DEEC0" w14:textId="3CC154DC" w:rsidR="00C83907" w:rsidRPr="00C83907" w:rsidRDefault="00C83907" w:rsidP="00C83907">
      <w:pPr>
        <w:spacing w:line="360" w:lineRule="auto"/>
        <w:rPr>
          <w:color w:val="002E56" w:themeColor="accent1"/>
          <w:lang w:val="en-BE"/>
        </w:rPr>
      </w:pPr>
      <w:r>
        <w:rPr>
          <w:color w:val="002E56" w:themeColor="accent1"/>
        </w:rPr>
        <w:t>“</w:t>
      </w:r>
      <w:r w:rsidRPr="00C83907">
        <w:t xml:space="preserve"> </w:t>
      </w:r>
      <w:r w:rsidRPr="00C83907">
        <w:rPr>
          <w:color w:val="002E56" w:themeColor="accent1"/>
          <w:highlight w:val="yellow"/>
        </w:rPr>
        <w:t>For this study, we selected Kraft lignin, the most widely available industrial lignin obtained as a by</w:t>
      </w:r>
      <w:r w:rsidRPr="00C83907">
        <w:rPr>
          <w:color w:val="002E56" w:themeColor="accent1"/>
          <w:highlight w:val="yellow"/>
        </w:rPr>
        <w:noBreakHyphen/>
        <w:t>product of the paper industry. To reduce the intrinsic heterogeneity of raw Kraft lignin, we applied a simple solvent</w:t>
      </w:r>
      <w:r w:rsidRPr="00C83907">
        <w:rPr>
          <w:color w:val="002E56" w:themeColor="accent1"/>
          <w:highlight w:val="yellow"/>
        </w:rPr>
        <w:noBreakHyphen/>
        <w:t>extraction step using an organic solvent, yielding the soluble extracted Kraft lignin (EKL) fraction. This upgrade technique is known to improve batch</w:t>
      </w:r>
      <w:r w:rsidRPr="00C83907">
        <w:rPr>
          <w:color w:val="002E56" w:themeColor="accent1"/>
          <w:highlight w:val="yellow"/>
        </w:rPr>
        <w:noBreakHyphen/>
        <w:t>to</w:t>
      </w:r>
      <w:r w:rsidRPr="00C83907">
        <w:rPr>
          <w:color w:val="002E56" w:themeColor="accent1"/>
          <w:highlight w:val="yellow"/>
        </w:rPr>
        <w:noBreakHyphen/>
        <w:t>batch reproducibility by providing lignin fractions with more uniform molecular weight distribution and hydroxyl</w:t>
      </w:r>
      <w:r w:rsidRPr="00C83907">
        <w:rPr>
          <w:color w:val="002E56" w:themeColor="accent1"/>
          <w:highlight w:val="yellow"/>
        </w:rPr>
        <w:noBreakHyphen/>
        <w:t xml:space="preserve">group content—two parameters that strongly influence PU network formation. By using this lignin source and extraction method, we ensure that the variability observed in </w:t>
      </w:r>
      <w:proofErr w:type="spellStart"/>
      <w:r w:rsidRPr="00C83907">
        <w:rPr>
          <w:color w:val="002E56" w:themeColor="accent1"/>
          <w:highlight w:val="yellow"/>
        </w:rPr>
        <w:t>Tg</w:t>
      </w:r>
      <w:proofErr w:type="spellEnd"/>
      <w:r w:rsidRPr="00C83907">
        <w:rPr>
          <w:color w:val="002E56" w:themeColor="accent1"/>
          <w:highlight w:val="yellow"/>
        </w:rPr>
        <w:t xml:space="preserve"> originates from the controlled formulation </w:t>
      </w:r>
      <w:r w:rsidRPr="00C83907">
        <w:rPr>
          <w:color w:val="002E56" w:themeColor="accent1"/>
          <w:highlight w:val="yellow"/>
        </w:rPr>
        <w:lastRenderedPageBreak/>
        <w:t>parameters rather than from uncontrolled lignin heterogeneity. Extending the model to lignins from different sources would require incorporating lignin</w:t>
      </w:r>
      <w:r w:rsidRPr="00C83907">
        <w:rPr>
          <w:color w:val="002E56" w:themeColor="accent1"/>
          <w:highlight w:val="yellow"/>
        </w:rPr>
        <w:noBreakHyphen/>
        <w:t>specific descriptors such as molecular weight (Mn), dispersity (Ð), aliphatic and total OH content, or S/G/H unit ratios, or alternatively retraining the model using additional lignin datasets</w:t>
      </w:r>
      <w:r>
        <w:rPr>
          <w:color w:val="002E56" w:themeColor="accent1"/>
        </w:rPr>
        <w:t>”</w:t>
      </w:r>
    </w:p>
    <w:p w14:paraId="1423355D" w14:textId="77777777" w:rsidR="00CE1C67" w:rsidRDefault="00CE1C67" w:rsidP="00CE1C67">
      <w:pPr>
        <w:spacing w:line="360" w:lineRule="auto"/>
        <w:rPr>
          <w:color w:val="002E56" w:themeColor="accent1"/>
        </w:rPr>
      </w:pPr>
    </w:p>
    <w:p w14:paraId="1A9AACF6" w14:textId="77777777" w:rsidR="00CE1C67" w:rsidRDefault="00CE1C67" w:rsidP="00CE1C67">
      <w:pPr>
        <w:spacing w:line="360" w:lineRule="auto"/>
        <w:rPr>
          <w:b/>
          <w:bCs/>
          <w:lang w:val="en-US"/>
        </w:rPr>
      </w:pPr>
      <w:r w:rsidRPr="00CE1C67">
        <w:rPr>
          <w:b/>
          <w:bCs/>
          <w:lang w:val="en-US"/>
        </w:rPr>
        <w:t xml:space="preserve">2. </w:t>
      </w:r>
      <w:r w:rsidRPr="00CE1C67">
        <w:rPr>
          <w:lang w:val="en-US"/>
        </w:rPr>
        <w:t xml:space="preserve">The introduction did not make it clear why the authors selected lignin-PUs as the research subject for predicting </w:t>
      </w:r>
      <w:proofErr w:type="spellStart"/>
      <w:r w:rsidRPr="00CE1C67">
        <w:rPr>
          <w:lang w:val="en-US"/>
        </w:rPr>
        <w:t>Tg</w:t>
      </w:r>
      <w:proofErr w:type="spellEnd"/>
      <w:r w:rsidRPr="00CE1C67">
        <w:rPr>
          <w:lang w:val="en-US"/>
        </w:rPr>
        <w:t xml:space="preserve">. Authors should thoroughly justify the necessity and significance of studying </w:t>
      </w:r>
      <w:proofErr w:type="spellStart"/>
      <w:r w:rsidRPr="00CE1C67">
        <w:rPr>
          <w:lang w:val="en-US"/>
        </w:rPr>
        <w:t>Tg</w:t>
      </w:r>
      <w:proofErr w:type="spellEnd"/>
      <w:r w:rsidRPr="00CE1C67">
        <w:rPr>
          <w:lang w:val="en-US"/>
        </w:rPr>
        <w:t xml:space="preserve"> of l lignin-PUs in the Introduction section.</w:t>
      </w:r>
    </w:p>
    <w:p w14:paraId="2BD057FB" w14:textId="77777777" w:rsidR="004E3FBB" w:rsidRPr="004E3FBB" w:rsidRDefault="004E3FBB" w:rsidP="004E3FBB">
      <w:pPr>
        <w:spacing w:line="360" w:lineRule="auto"/>
        <w:rPr>
          <w:color w:val="002E56" w:themeColor="accent1"/>
          <w:lang w:val="en-BE"/>
        </w:rPr>
      </w:pPr>
      <w:r w:rsidRPr="004E3FBB">
        <w:rPr>
          <w:color w:val="002E56" w:themeColor="accent1"/>
          <w:lang w:val="en-BE"/>
        </w:rPr>
        <w:t>We thank the reviewer for this valuable comment. We have now expanded the Introduction to clearly justify why lignin</w:t>
      </w:r>
      <w:r w:rsidRPr="004E3FBB">
        <w:rPr>
          <w:color w:val="002E56" w:themeColor="accent1"/>
          <w:lang w:val="en-BE"/>
        </w:rPr>
        <w:noBreakHyphen/>
        <w:t xml:space="preserve">based polyurethanes are an appropriate and meaningful model system for </w:t>
      </w:r>
      <w:proofErr w:type="spellStart"/>
      <w:r w:rsidRPr="004E3FBB">
        <w:rPr>
          <w:color w:val="002E56" w:themeColor="accent1"/>
          <w:lang w:val="en-BE"/>
        </w:rPr>
        <w:t>Tg</w:t>
      </w:r>
      <w:proofErr w:type="spellEnd"/>
      <w:r w:rsidRPr="004E3FBB">
        <w:rPr>
          <w:color w:val="002E56" w:themeColor="accent1"/>
          <w:lang w:val="en-BE"/>
        </w:rPr>
        <w:t xml:space="preserve"> prediction.</w:t>
      </w:r>
    </w:p>
    <w:p w14:paraId="72CBF493" w14:textId="77777777" w:rsidR="004E3FBB" w:rsidRPr="004E3FBB" w:rsidRDefault="004E3FBB" w:rsidP="004E3FBB">
      <w:pPr>
        <w:spacing w:line="360" w:lineRule="auto"/>
        <w:rPr>
          <w:color w:val="002E56" w:themeColor="accent1"/>
          <w:lang w:val="en-BE"/>
        </w:rPr>
      </w:pPr>
      <w:r w:rsidRPr="004E3FBB">
        <w:rPr>
          <w:color w:val="002E56" w:themeColor="accent1"/>
          <w:lang w:val="en-BE"/>
        </w:rPr>
        <w:t xml:space="preserve">Lignin is inherently a </w:t>
      </w:r>
      <w:r w:rsidRPr="004E3FBB">
        <w:rPr>
          <w:b/>
          <w:bCs/>
          <w:color w:val="002E56" w:themeColor="accent1"/>
          <w:lang w:val="en-BE"/>
        </w:rPr>
        <w:t>natural polyol</w:t>
      </w:r>
      <w:r w:rsidRPr="004E3FBB">
        <w:rPr>
          <w:color w:val="002E56" w:themeColor="accent1"/>
          <w:lang w:val="en-BE"/>
        </w:rPr>
        <w:t xml:space="preserve">, containing aliphatic and phenolic hydroxyl groups that make it chemically compatible with polyurethane synthesis as well as other polymer families such as </w:t>
      </w:r>
      <w:proofErr w:type="spellStart"/>
      <w:r w:rsidRPr="004E3FBB">
        <w:rPr>
          <w:color w:val="002E56" w:themeColor="accent1"/>
          <w:lang w:val="en-BE"/>
        </w:rPr>
        <w:t>polyethers</w:t>
      </w:r>
      <w:proofErr w:type="spellEnd"/>
      <w:r w:rsidRPr="004E3FBB">
        <w:rPr>
          <w:color w:val="002E56" w:themeColor="accent1"/>
          <w:lang w:val="en-BE"/>
        </w:rPr>
        <w:t xml:space="preserve">, polyacetals, and polyesters. However, </w:t>
      </w:r>
      <w:r w:rsidRPr="004E3FBB">
        <w:rPr>
          <w:b/>
          <w:bCs/>
          <w:color w:val="002E56" w:themeColor="accent1"/>
          <w:lang w:val="en-BE"/>
        </w:rPr>
        <w:t>polyurethanes remain by far the most widely used application platform</w:t>
      </w:r>
      <w:r w:rsidRPr="004E3FBB">
        <w:rPr>
          <w:color w:val="002E56" w:themeColor="accent1"/>
          <w:lang w:val="en-BE"/>
        </w:rPr>
        <w:t>, spanning thin films, coatings, foams, elastomers, adhesives, and composite matrices. This broad industrial relevance, combined with the structural complexity introduced by lignin, makes lignin</w:t>
      </w:r>
      <w:r w:rsidRPr="004E3FBB">
        <w:rPr>
          <w:color w:val="002E56" w:themeColor="accent1"/>
          <w:lang w:val="en-BE"/>
        </w:rPr>
        <w:noBreakHyphen/>
      </w:r>
      <w:proofErr w:type="spellStart"/>
      <w:r w:rsidRPr="004E3FBB">
        <w:rPr>
          <w:color w:val="002E56" w:themeColor="accent1"/>
          <w:lang w:val="en-BE"/>
        </w:rPr>
        <w:t>PUs</w:t>
      </w:r>
      <w:proofErr w:type="spellEnd"/>
      <w:r w:rsidRPr="004E3FBB">
        <w:rPr>
          <w:color w:val="002E56" w:themeColor="accent1"/>
          <w:lang w:val="en-BE"/>
        </w:rPr>
        <w:t xml:space="preserve"> a particularly impactful system for data</w:t>
      </w:r>
      <w:r w:rsidRPr="004E3FBB">
        <w:rPr>
          <w:color w:val="002E56" w:themeColor="accent1"/>
          <w:lang w:val="en-BE"/>
        </w:rPr>
        <w:noBreakHyphen/>
        <w:t>driven design.</w:t>
      </w:r>
    </w:p>
    <w:p w14:paraId="157294AE" w14:textId="77777777" w:rsidR="004E3FBB" w:rsidRPr="004E3FBB" w:rsidRDefault="004E3FBB" w:rsidP="004E3FBB">
      <w:pPr>
        <w:spacing w:line="360" w:lineRule="auto"/>
        <w:rPr>
          <w:color w:val="002E56" w:themeColor="accent1"/>
          <w:lang w:val="en-BE"/>
        </w:rPr>
      </w:pPr>
      <w:r w:rsidRPr="004E3FBB">
        <w:rPr>
          <w:color w:val="002E56" w:themeColor="accent1"/>
          <w:lang w:val="en-BE"/>
        </w:rPr>
        <w:t xml:space="preserve">Additionally, the </w:t>
      </w:r>
      <w:r w:rsidRPr="004E3FBB">
        <w:rPr>
          <w:b/>
          <w:bCs/>
          <w:color w:val="002E56" w:themeColor="accent1"/>
          <w:lang w:val="en-BE"/>
        </w:rPr>
        <w:t>isocyanate–hydroxyl reaction</w:t>
      </w:r>
      <w:r w:rsidRPr="004E3FBB">
        <w:rPr>
          <w:color w:val="002E56" w:themeColor="accent1"/>
          <w:lang w:val="en-BE"/>
        </w:rPr>
        <w:t xml:space="preserve"> proceeds under mild conditions, is highly efficient, and allows rapid preparation of many formulation variants. This makes lignin</w:t>
      </w:r>
      <w:r w:rsidRPr="004E3FBB">
        <w:rPr>
          <w:color w:val="002E56" w:themeColor="accent1"/>
          <w:lang w:val="en-BE"/>
        </w:rPr>
        <w:noBreakHyphen/>
        <w:t>PU chemistry especially suitable for generating experimental datasets, as multiple samples can be synthesized reproducibly with minimal processing constraints.</w:t>
      </w:r>
    </w:p>
    <w:p w14:paraId="67BE92A1" w14:textId="7772B77F" w:rsidR="004E3FBB" w:rsidRPr="004E3FBB" w:rsidRDefault="004E3FBB" w:rsidP="004E3FBB">
      <w:pPr>
        <w:spacing w:line="360" w:lineRule="auto"/>
        <w:rPr>
          <w:color w:val="002E56" w:themeColor="accent1"/>
          <w:lang w:val="en-BE"/>
        </w:rPr>
      </w:pPr>
      <w:r w:rsidRPr="004E3FBB">
        <w:rPr>
          <w:color w:val="002E56" w:themeColor="accent1"/>
          <w:lang w:val="en-BE"/>
        </w:rPr>
        <w:t xml:space="preserve">We also emphasize that </w:t>
      </w:r>
      <w:proofErr w:type="spellStart"/>
      <w:r w:rsidRPr="004E3FBB">
        <w:rPr>
          <w:b/>
          <w:bCs/>
          <w:color w:val="002E56" w:themeColor="accent1"/>
          <w:lang w:val="en-BE"/>
        </w:rPr>
        <w:t>Tg</w:t>
      </w:r>
      <w:proofErr w:type="spellEnd"/>
      <w:r w:rsidRPr="004E3FBB">
        <w:rPr>
          <w:b/>
          <w:bCs/>
          <w:color w:val="002E56" w:themeColor="accent1"/>
          <w:lang w:val="en-BE"/>
        </w:rPr>
        <w:t xml:space="preserve"> measured by DSC</w:t>
      </w:r>
      <w:r w:rsidRPr="004E3FBB">
        <w:rPr>
          <w:color w:val="002E56" w:themeColor="accent1"/>
          <w:lang w:val="en-BE"/>
        </w:rPr>
        <w:t xml:space="preserve"> is an ideal target property for ML</w:t>
      </w:r>
      <w:r w:rsidRPr="004E3FBB">
        <w:rPr>
          <w:color w:val="002E56" w:themeColor="accent1"/>
          <w:lang w:val="en-BE"/>
        </w:rPr>
        <w:noBreakHyphen/>
        <w:t xml:space="preserve">guided formulation design. </w:t>
      </w:r>
      <w:proofErr w:type="spellStart"/>
      <w:r w:rsidRPr="004E3FBB">
        <w:rPr>
          <w:color w:val="002E56" w:themeColor="accent1"/>
          <w:lang w:val="en-BE"/>
        </w:rPr>
        <w:t>Tg</w:t>
      </w:r>
      <w:proofErr w:type="spellEnd"/>
      <w:r w:rsidRPr="004E3FBB">
        <w:rPr>
          <w:color w:val="002E56" w:themeColor="accent1"/>
          <w:lang w:val="en-BE"/>
        </w:rPr>
        <w:t xml:space="preserve"> is a fundamental thermal parameter that directly reflects the internal structure of PU networks</w:t>
      </w:r>
      <w:r>
        <w:rPr>
          <w:color w:val="002E56" w:themeColor="accent1"/>
          <w:lang w:val="en-BE"/>
        </w:rPr>
        <w:t xml:space="preserve">, </w:t>
      </w:r>
      <w:r w:rsidRPr="004E3FBB">
        <w:rPr>
          <w:color w:val="002E56" w:themeColor="accent1"/>
          <w:lang w:val="en-BE"/>
        </w:rPr>
        <w:t>segmental mobility, crosslink density, and soft</w:t>
      </w:r>
      <w:r w:rsidRPr="004E3FBB">
        <w:rPr>
          <w:color w:val="002E56" w:themeColor="accent1"/>
          <w:lang w:val="en-BE"/>
        </w:rPr>
        <w:noBreakHyphen/>
        <w:t>segment flexibility</w:t>
      </w:r>
      <w:r>
        <w:rPr>
          <w:color w:val="002E56" w:themeColor="accent1"/>
          <w:lang w:val="en-BE"/>
        </w:rPr>
        <w:t xml:space="preserve">, </w:t>
      </w:r>
      <w:r w:rsidRPr="004E3FBB">
        <w:rPr>
          <w:color w:val="002E56" w:themeColor="accent1"/>
          <w:lang w:val="en-BE"/>
        </w:rPr>
        <w:t>and it is routinely used across all PU applications (coatings, foams, films, elastomers) to assess performance. Moreover, DSC analysis can be performed in autosampler mode, enabling high</w:t>
      </w:r>
      <w:r w:rsidRPr="004E3FBB">
        <w:rPr>
          <w:color w:val="002E56" w:themeColor="accent1"/>
          <w:lang w:val="en-BE"/>
        </w:rPr>
        <w:noBreakHyphen/>
        <w:t xml:space="preserve">throughput acquisition of </w:t>
      </w:r>
      <w:proofErr w:type="spellStart"/>
      <w:r w:rsidRPr="004E3FBB">
        <w:rPr>
          <w:color w:val="002E56" w:themeColor="accent1"/>
          <w:lang w:val="en-BE"/>
        </w:rPr>
        <w:t>Tg</w:t>
      </w:r>
      <w:proofErr w:type="spellEnd"/>
      <w:r w:rsidRPr="004E3FBB">
        <w:rPr>
          <w:color w:val="002E56" w:themeColor="accent1"/>
          <w:lang w:val="en-BE"/>
        </w:rPr>
        <w:t xml:space="preserve"> values with minimal material consumption, which is essential for building experimental datasets.</w:t>
      </w:r>
    </w:p>
    <w:p w14:paraId="150C05E7" w14:textId="752BACBC" w:rsidR="004E3FBB" w:rsidRDefault="004E3FBB" w:rsidP="004E3FBB">
      <w:pPr>
        <w:spacing w:line="360" w:lineRule="auto"/>
        <w:rPr>
          <w:color w:val="002E56" w:themeColor="accent1"/>
          <w:lang w:val="en-BE"/>
        </w:rPr>
      </w:pPr>
      <w:r w:rsidRPr="004E3FBB">
        <w:rPr>
          <w:color w:val="002E56" w:themeColor="accent1"/>
          <w:lang w:val="en-BE"/>
        </w:rPr>
        <w:t xml:space="preserve">These points have now been added to the </w:t>
      </w:r>
      <w:r w:rsidRPr="004E3FBB">
        <w:rPr>
          <w:b/>
          <w:bCs/>
          <w:color w:val="002E56" w:themeColor="accent1"/>
          <w:lang w:val="en-BE"/>
        </w:rPr>
        <w:t>Introduction</w:t>
      </w:r>
      <w:r>
        <w:rPr>
          <w:color w:val="002E56" w:themeColor="accent1"/>
          <w:lang w:val="en-BE"/>
        </w:rPr>
        <w:t xml:space="preserve"> (</w:t>
      </w:r>
      <w:r w:rsidRPr="004E3FBB">
        <w:rPr>
          <w:color w:val="002E56" w:themeColor="accent1"/>
          <w:highlight w:val="yellow"/>
          <w:lang w:val="en-BE"/>
        </w:rPr>
        <w:t>yellow</w:t>
      </w:r>
      <w:r>
        <w:rPr>
          <w:color w:val="002E56" w:themeColor="accent1"/>
          <w:lang w:val="en-BE"/>
        </w:rPr>
        <w:t xml:space="preserve"> highlight)</w:t>
      </w:r>
      <w:r w:rsidRPr="004E3FBB">
        <w:rPr>
          <w:color w:val="002E56" w:themeColor="accent1"/>
          <w:lang w:val="en-BE"/>
        </w:rPr>
        <w:t xml:space="preserve"> to clarify the scientific and practical motivation for selecting lignin</w:t>
      </w:r>
      <w:r w:rsidRPr="004E3FBB">
        <w:rPr>
          <w:color w:val="002E56" w:themeColor="accent1"/>
          <w:lang w:val="en-BE"/>
        </w:rPr>
        <w:noBreakHyphen/>
      </w:r>
      <w:proofErr w:type="spellStart"/>
      <w:r w:rsidRPr="004E3FBB">
        <w:rPr>
          <w:color w:val="002E56" w:themeColor="accent1"/>
          <w:lang w:val="en-BE"/>
        </w:rPr>
        <w:t>PUs</w:t>
      </w:r>
      <w:proofErr w:type="spellEnd"/>
      <w:r w:rsidRPr="004E3FBB">
        <w:rPr>
          <w:color w:val="002E56" w:themeColor="accent1"/>
          <w:lang w:val="en-BE"/>
        </w:rPr>
        <w:t xml:space="preserve"> and </w:t>
      </w:r>
      <w:proofErr w:type="spellStart"/>
      <w:r w:rsidRPr="004E3FBB">
        <w:rPr>
          <w:color w:val="002E56" w:themeColor="accent1"/>
          <w:lang w:val="en-BE"/>
        </w:rPr>
        <w:t>Tg</w:t>
      </w:r>
      <w:proofErr w:type="spellEnd"/>
      <w:r w:rsidRPr="004E3FBB">
        <w:rPr>
          <w:color w:val="002E56" w:themeColor="accent1"/>
          <w:lang w:val="en-BE"/>
        </w:rPr>
        <w:t xml:space="preserve"> prediction as the focus of this study.</w:t>
      </w:r>
    </w:p>
    <w:p w14:paraId="1C59DF81" w14:textId="19339E28" w:rsidR="004E3FBB" w:rsidRDefault="004E3FBB" w:rsidP="004E3FBB">
      <w:pPr>
        <w:spacing w:line="360" w:lineRule="auto"/>
        <w:rPr>
          <w:color w:val="002E56" w:themeColor="accent1"/>
          <w:lang w:val="en-BE"/>
        </w:rPr>
      </w:pPr>
      <w:r>
        <w:rPr>
          <w:color w:val="002E56" w:themeColor="accent1"/>
          <w:lang w:val="en-BE"/>
        </w:rPr>
        <w:t>“</w:t>
      </w:r>
      <w:r w:rsidRPr="004E3FBB">
        <w:rPr>
          <w:color w:val="002E56" w:themeColor="accent1"/>
          <w:highlight w:val="yellow"/>
        </w:rPr>
        <w:t xml:space="preserve">Lignin is naturally a multifunctional polyol containing aliphatic and phenolic hydroxyl groups, which makes it intrinsically suitable for polyurethane synthesis as well as other polymer families such as </w:t>
      </w:r>
      <w:proofErr w:type="spellStart"/>
      <w:r w:rsidRPr="004E3FBB">
        <w:rPr>
          <w:color w:val="002E56" w:themeColor="accent1"/>
          <w:highlight w:val="yellow"/>
        </w:rPr>
        <w:t>polyethers</w:t>
      </w:r>
      <w:proofErr w:type="spellEnd"/>
      <w:r w:rsidRPr="004E3FBB">
        <w:rPr>
          <w:color w:val="002E56" w:themeColor="accent1"/>
          <w:highlight w:val="yellow"/>
        </w:rPr>
        <w:t>, polyacetals, or polyesters. Among these, polyurethanes remain the most widely used across industrial applications</w:t>
      </w:r>
      <w:r>
        <w:rPr>
          <w:color w:val="002E56" w:themeColor="accent1"/>
          <w:highlight w:val="yellow"/>
        </w:rPr>
        <w:t xml:space="preserve">, </w:t>
      </w:r>
      <w:r w:rsidRPr="004E3FBB">
        <w:rPr>
          <w:color w:val="002E56" w:themeColor="accent1"/>
          <w:highlight w:val="yellow"/>
        </w:rPr>
        <w:t>including thin films, coatings, foams, elastomers, and composites—making lignin</w:t>
      </w:r>
      <w:r w:rsidRPr="004E3FBB">
        <w:rPr>
          <w:color w:val="002E56" w:themeColor="accent1"/>
          <w:highlight w:val="yellow"/>
        </w:rPr>
        <w:noBreakHyphen/>
        <w:t xml:space="preserve">based </w:t>
      </w:r>
      <w:proofErr w:type="spellStart"/>
      <w:r w:rsidRPr="004E3FBB">
        <w:rPr>
          <w:color w:val="002E56" w:themeColor="accent1"/>
          <w:highlight w:val="yellow"/>
        </w:rPr>
        <w:t>PUs</w:t>
      </w:r>
      <w:proofErr w:type="spellEnd"/>
      <w:r w:rsidRPr="004E3FBB">
        <w:rPr>
          <w:color w:val="002E56" w:themeColor="accent1"/>
          <w:highlight w:val="yellow"/>
        </w:rPr>
        <w:t xml:space="preserve"> a highly relevant platform for sustainable materials development. The </w:t>
      </w:r>
      <w:r w:rsidRPr="004E3FBB">
        <w:rPr>
          <w:color w:val="002E56" w:themeColor="accent1"/>
          <w:highlight w:val="yellow"/>
        </w:rPr>
        <w:lastRenderedPageBreak/>
        <w:t>isocyanate–hydroxyl reaction proceeds efficiently under mild conditions, enabling rapid preparation of large numbers of formulation variants, which is essential for generating experimental datasets for machine</w:t>
      </w:r>
      <w:r w:rsidRPr="004E3FBB">
        <w:rPr>
          <w:color w:val="002E56" w:themeColor="accent1"/>
          <w:highlight w:val="yellow"/>
        </w:rPr>
        <w:noBreakHyphen/>
        <w:t>learning workflows. In this context, the glass transition temperature (</w:t>
      </w:r>
      <w:proofErr w:type="spellStart"/>
      <w:r w:rsidRPr="004E3FBB">
        <w:rPr>
          <w:color w:val="002E56" w:themeColor="accent1"/>
          <w:highlight w:val="yellow"/>
        </w:rPr>
        <w:t>Tg</w:t>
      </w:r>
      <w:proofErr w:type="spellEnd"/>
      <w:r w:rsidRPr="004E3FBB">
        <w:rPr>
          <w:color w:val="002E56" w:themeColor="accent1"/>
          <w:highlight w:val="yellow"/>
        </w:rPr>
        <w:t>) measured by DSC is an ideal target property: it is a fundamental thermal parameter directly linked to PU network structure (segmental mobility, crosslink density, and free volume) and is routinely used to evaluate performance across all PU applications. Furthermore, DSC autosampler operation allows high</w:t>
      </w:r>
      <w:r w:rsidRPr="004E3FBB">
        <w:rPr>
          <w:color w:val="002E56" w:themeColor="accent1"/>
          <w:highlight w:val="yellow"/>
        </w:rPr>
        <w:noBreakHyphen/>
        <w:t xml:space="preserve">throughput </w:t>
      </w:r>
      <w:proofErr w:type="spellStart"/>
      <w:r w:rsidRPr="004E3FBB">
        <w:rPr>
          <w:color w:val="002E56" w:themeColor="accent1"/>
          <w:highlight w:val="yellow"/>
        </w:rPr>
        <w:t>Tg</w:t>
      </w:r>
      <w:proofErr w:type="spellEnd"/>
      <w:r w:rsidRPr="004E3FBB">
        <w:rPr>
          <w:color w:val="002E56" w:themeColor="accent1"/>
          <w:highlight w:val="yellow"/>
        </w:rPr>
        <w:t xml:space="preserve"> determination with minimal sample quantities, facilitating systematic data collection. These factors collectively justify the selection of lignin</w:t>
      </w:r>
      <w:r w:rsidRPr="004E3FBB">
        <w:rPr>
          <w:color w:val="002E56" w:themeColor="accent1"/>
          <w:highlight w:val="yellow"/>
        </w:rPr>
        <w:noBreakHyphen/>
        <w:t xml:space="preserve">based </w:t>
      </w:r>
      <w:proofErr w:type="spellStart"/>
      <w:r w:rsidRPr="004E3FBB">
        <w:rPr>
          <w:color w:val="002E56" w:themeColor="accent1"/>
          <w:highlight w:val="yellow"/>
        </w:rPr>
        <w:t>PUs</w:t>
      </w:r>
      <w:proofErr w:type="spellEnd"/>
      <w:r w:rsidRPr="004E3FBB">
        <w:rPr>
          <w:color w:val="002E56" w:themeColor="accent1"/>
          <w:highlight w:val="yellow"/>
        </w:rPr>
        <w:t xml:space="preserve"> and </w:t>
      </w:r>
      <w:proofErr w:type="spellStart"/>
      <w:r w:rsidRPr="004E3FBB">
        <w:rPr>
          <w:color w:val="002E56" w:themeColor="accent1"/>
          <w:highlight w:val="yellow"/>
        </w:rPr>
        <w:t>Tg</w:t>
      </w:r>
      <w:proofErr w:type="spellEnd"/>
      <w:r w:rsidRPr="004E3FBB">
        <w:rPr>
          <w:color w:val="002E56" w:themeColor="accent1"/>
          <w:highlight w:val="yellow"/>
        </w:rPr>
        <w:t xml:space="preserve"> prediction as a meaningful and industrially relevant model system for data</w:t>
      </w:r>
      <w:r w:rsidRPr="004E3FBB">
        <w:rPr>
          <w:color w:val="002E56" w:themeColor="accent1"/>
          <w:highlight w:val="yellow"/>
        </w:rPr>
        <w:noBreakHyphen/>
        <w:t>driven materials design.</w:t>
      </w:r>
      <w:r>
        <w:rPr>
          <w:color w:val="002E56" w:themeColor="accent1"/>
        </w:rPr>
        <w:t>”</w:t>
      </w:r>
    </w:p>
    <w:p w14:paraId="248A435A" w14:textId="77777777" w:rsidR="004E3FBB" w:rsidRPr="004E3FBB" w:rsidRDefault="004E3FBB" w:rsidP="004E3FBB">
      <w:pPr>
        <w:spacing w:line="360" w:lineRule="auto"/>
        <w:rPr>
          <w:color w:val="002E56" w:themeColor="accent1"/>
          <w:lang w:val="en-BE"/>
        </w:rPr>
      </w:pPr>
    </w:p>
    <w:p w14:paraId="21F80079" w14:textId="6C72D65A" w:rsidR="00CE1C67" w:rsidRDefault="00CE1C67" w:rsidP="00CE1C67">
      <w:pPr>
        <w:spacing w:line="360" w:lineRule="auto"/>
        <w:rPr>
          <w:lang w:val="en-US"/>
        </w:rPr>
      </w:pPr>
      <w:r w:rsidRPr="00CE1C67">
        <w:rPr>
          <w:b/>
          <w:bCs/>
          <w:lang w:val="en-US"/>
        </w:rPr>
        <w:t xml:space="preserve">3. </w:t>
      </w:r>
      <w:r w:rsidRPr="00CE1C67">
        <w:rPr>
          <w:lang w:val="en-US"/>
        </w:rPr>
        <w:t xml:space="preserve">All experiments are based on the same batch of extracted Kraft lignin, which raises the following question: Is the model only effective for this specific lignin batch? If the lignin source is changed (usually accompanied by notable variations in structural </w:t>
      </w:r>
      <w:r w:rsidRPr="00CE1C67">
        <w:rPr>
          <w:lang w:val="en-US"/>
        </w:rPr>
        <w:t>parameters</w:t>
      </w:r>
      <w:r w:rsidRPr="00CE1C67">
        <w:rPr>
          <w:lang w:val="en-US"/>
        </w:rPr>
        <w:t xml:space="preserve"> such as molecular weight, composition of basic structural units, and functional groups.), would the model require retraining or adjustment to maintain prediction accuracy?</w:t>
      </w:r>
    </w:p>
    <w:p w14:paraId="3E42C5B5" w14:textId="10287CFE" w:rsidR="00981F4B" w:rsidRPr="00981F4B" w:rsidRDefault="00981F4B" w:rsidP="00981F4B">
      <w:pPr>
        <w:spacing w:line="360" w:lineRule="auto"/>
        <w:rPr>
          <w:color w:val="002E56" w:themeColor="accent1"/>
        </w:rPr>
      </w:pPr>
      <w:r w:rsidRPr="00981F4B">
        <w:rPr>
          <w:color w:val="002E56" w:themeColor="accent1"/>
        </w:rPr>
        <w:t xml:space="preserve">We thank the reviewer for this important question. As noted earlier, lignin heterogeneity is a major challenge for predictive </w:t>
      </w:r>
      <w:proofErr w:type="spellStart"/>
      <w:r w:rsidRPr="00981F4B">
        <w:rPr>
          <w:color w:val="002E56" w:themeColor="accent1"/>
        </w:rPr>
        <w:t>modeling</w:t>
      </w:r>
      <w:proofErr w:type="spellEnd"/>
      <w:r w:rsidRPr="00981F4B">
        <w:rPr>
          <w:color w:val="002E56" w:themeColor="accent1"/>
        </w:rPr>
        <w:t>. In this study, we intentionally used Kraft lignin, the most globally available industrial lignin, and applied a solvent</w:t>
      </w:r>
      <w:r w:rsidRPr="00981F4B">
        <w:rPr>
          <w:rFonts w:ascii="Cambria Math" w:hAnsi="Cambria Math" w:cs="Cambria Math"/>
          <w:color w:val="002E56" w:themeColor="accent1"/>
        </w:rPr>
        <w:t>‑</w:t>
      </w:r>
      <w:r w:rsidRPr="00981F4B">
        <w:rPr>
          <w:color w:val="002E56" w:themeColor="accent1"/>
        </w:rPr>
        <w:t>extraction upgrade step to isolate the soluble EKL fraction. This procedure yields lignin oligomers with more uniform molecular weight distribution and hydroxyl</w:t>
      </w:r>
      <w:r w:rsidRPr="00981F4B">
        <w:rPr>
          <w:rFonts w:ascii="Cambria Math" w:hAnsi="Cambria Math" w:cs="Cambria Math"/>
          <w:color w:val="002E56" w:themeColor="accent1"/>
        </w:rPr>
        <w:t>‑</w:t>
      </w:r>
      <w:r w:rsidRPr="00981F4B">
        <w:rPr>
          <w:color w:val="002E56" w:themeColor="accent1"/>
        </w:rPr>
        <w:t>group content, which are critical parameters for polyurethane network formation.</w:t>
      </w:r>
    </w:p>
    <w:p w14:paraId="0E633314" w14:textId="7C4FE314" w:rsidR="00981F4B" w:rsidRPr="00981F4B" w:rsidRDefault="00981F4B" w:rsidP="00981F4B">
      <w:pPr>
        <w:spacing w:line="360" w:lineRule="auto"/>
        <w:rPr>
          <w:color w:val="002E56" w:themeColor="accent1"/>
        </w:rPr>
      </w:pPr>
      <w:r w:rsidRPr="00981F4B">
        <w:rPr>
          <w:color w:val="002E56" w:themeColor="accent1"/>
        </w:rPr>
        <w:t>Producing homogeneous PU materials requires that the lignin fraction is well dispersed in the formulation components. Solvent</w:t>
      </w:r>
      <w:r w:rsidRPr="00981F4B">
        <w:rPr>
          <w:rFonts w:ascii="Cambria Math" w:hAnsi="Cambria Math" w:cs="Cambria Math"/>
          <w:color w:val="002E56" w:themeColor="accent1"/>
        </w:rPr>
        <w:t>‑</w:t>
      </w:r>
      <w:r w:rsidRPr="00981F4B">
        <w:rPr>
          <w:color w:val="002E56" w:themeColor="accent1"/>
        </w:rPr>
        <w:t>extracted Kraft lignin is known to disperse efficiently in polyol–isocyanate mixtures, enabling reproducible PU synthesis. Importantly, when lignins from different botanical origins or pulping methods undergo the same solvent</w:t>
      </w:r>
      <w:r w:rsidRPr="00981F4B">
        <w:rPr>
          <w:rFonts w:ascii="Cambria Math" w:hAnsi="Cambria Math" w:cs="Cambria Math"/>
          <w:color w:val="002E56" w:themeColor="accent1"/>
        </w:rPr>
        <w:t>‑</w:t>
      </w:r>
      <w:r w:rsidRPr="00981F4B">
        <w:rPr>
          <w:color w:val="002E56" w:themeColor="accent1"/>
        </w:rPr>
        <w:t>extraction procedure, the resulting soluble fractions tend to converge toward similar molecular</w:t>
      </w:r>
      <w:r w:rsidRPr="00981F4B">
        <w:rPr>
          <w:rFonts w:ascii="Cambria Math" w:hAnsi="Cambria Math" w:cs="Cambria Math"/>
          <w:color w:val="002E56" w:themeColor="accent1"/>
        </w:rPr>
        <w:t>‑</w:t>
      </w:r>
      <w:r w:rsidRPr="00981F4B">
        <w:rPr>
          <w:color w:val="002E56" w:themeColor="accent1"/>
        </w:rPr>
        <w:t>weight ranges and OH</w:t>
      </w:r>
      <w:r w:rsidRPr="00981F4B">
        <w:rPr>
          <w:rFonts w:ascii="Cambria Math" w:hAnsi="Cambria Math" w:cs="Cambria Math"/>
          <w:color w:val="002E56" w:themeColor="accent1"/>
        </w:rPr>
        <w:t>‑</w:t>
      </w:r>
      <w:r w:rsidRPr="00981F4B">
        <w:rPr>
          <w:color w:val="002E56" w:themeColor="accent1"/>
        </w:rPr>
        <w:t>group distributions, because the extraction selectively isolates the low</w:t>
      </w:r>
      <w:r w:rsidRPr="00981F4B">
        <w:rPr>
          <w:rFonts w:ascii="Cambria Math" w:hAnsi="Cambria Math" w:cs="Cambria Math"/>
          <w:color w:val="002E56" w:themeColor="accent1"/>
        </w:rPr>
        <w:t>‑</w:t>
      </w:r>
      <w:r w:rsidRPr="00981F4B">
        <w:rPr>
          <w:color w:val="002E56" w:themeColor="accent1"/>
        </w:rPr>
        <w:t>molecular</w:t>
      </w:r>
      <w:r w:rsidRPr="00981F4B">
        <w:rPr>
          <w:rFonts w:ascii="Cambria Math" w:hAnsi="Cambria Math" w:cs="Cambria Math"/>
          <w:color w:val="002E56" w:themeColor="accent1"/>
        </w:rPr>
        <w:t>‑</w:t>
      </w:r>
      <w:r w:rsidRPr="00981F4B">
        <w:rPr>
          <w:color w:val="002E56" w:themeColor="accent1"/>
        </w:rPr>
        <w:t>weight, better</w:t>
      </w:r>
      <w:r w:rsidRPr="00981F4B">
        <w:rPr>
          <w:rFonts w:ascii="Cambria Math" w:hAnsi="Cambria Math" w:cs="Cambria Math"/>
          <w:color w:val="002E56" w:themeColor="accent1"/>
        </w:rPr>
        <w:t>‑</w:t>
      </w:r>
      <w:r w:rsidRPr="00981F4B">
        <w:rPr>
          <w:color w:val="002E56" w:themeColor="accent1"/>
        </w:rPr>
        <w:t>defined lignin oligomers. Therefore, moderate changes in lignin source do not necessarily translate into large variations in the extracted fraction.</w:t>
      </w:r>
    </w:p>
    <w:p w14:paraId="5A431AA6" w14:textId="1FC7690F" w:rsidR="00981F4B" w:rsidRPr="00981F4B" w:rsidRDefault="00981F4B" w:rsidP="00981F4B">
      <w:pPr>
        <w:spacing w:line="360" w:lineRule="auto"/>
        <w:rPr>
          <w:color w:val="002E56" w:themeColor="accent1"/>
        </w:rPr>
      </w:pPr>
      <w:r w:rsidRPr="00981F4B">
        <w:rPr>
          <w:color w:val="002E56" w:themeColor="accent1"/>
        </w:rPr>
        <w:t>Only when the fractionation method or extraction conditions are drastically altered does the botanical origin exert a much stronger influence on the resulting lignin structure. In such cases, the chemical space would differ significantly from the EKL used here.</w:t>
      </w:r>
    </w:p>
    <w:p w14:paraId="5B624ACA" w14:textId="77777777" w:rsidR="00981F4B" w:rsidRPr="00981F4B" w:rsidRDefault="00981F4B" w:rsidP="00981F4B">
      <w:pPr>
        <w:spacing w:line="360" w:lineRule="auto"/>
        <w:rPr>
          <w:color w:val="002E56" w:themeColor="accent1"/>
        </w:rPr>
      </w:pPr>
      <w:r w:rsidRPr="00981F4B">
        <w:rPr>
          <w:color w:val="002E56" w:themeColor="accent1"/>
        </w:rPr>
        <w:t>In summary, if the lignin source is changed, two conditions must be met to maintain predictive accuracy:</w:t>
      </w:r>
    </w:p>
    <w:p w14:paraId="64DC0438" w14:textId="77777777" w:rsidR="00981F4B" w:rsidRPr="00981F4B" w:rsidRDefault="00981F4B" w:rsidP="00981F4B">
      <w:pPr>
        <w:spacing w:line="360" w:lineRule="auto"/>
        <w:rPr>
          <w:color w:val="002E56" w:themeColor="accent1"/>
        </w:rPr>
      </w:pPr>
    </w:p>
    <w:p w14:paraId="35002341" w14:textId="3387FB98" w:rsidR="00981F4B" w:rsidRPr="00981F4B" w:rsidRDefault="00981F4B" w:rsidP="00981F4B">
      <w:pPr>
        <w:pStyle w:val="ListParagraph"/>
        <w:numPr>
          <w:ilvl w:val="0"/>
          <w:numId w:val="5"/>
        </w:numPr>
        <w:spacing w:line="360" w:lineRule="auto"/>
        <w:rPr>
          <w:color w:val="002E56" w:themeColor="accent1"/>
        </w:rPr>
      </w:pPr>
      <w:r w:rsidRPr="00981F4B">
        <w:rPr>
          <w:color w:val="002E56" w:themeColor="accent1"/>
        </w:rPr>
        <w:lastRenderedPageBreak/>
        <w:t>The lignin must first be fractionated to obtain a soluble, well</w:t>
      </w:r>
      <w:r w:rsidRPr="00981F4B">
        <w:rPr>
          <w:rFonts w:ascii="Cambria Math" w:hAnsi="Cambria Math" w:cs="Cambria Math"/>
          <w:color w:val="002E56" w:themeColor="accent1"/>
        </w:rPr>
        <w:t>‑</w:t>
      </w:r>
      <w:r w:rsidRPr="00981F4B">
        <w:rPr>
          <w:color w:val="002E56" w:themeColor="accent1"/>
        </w:rPr>
        <w:t>defined fraction that can form homogeneous PU networks.</w:t>
      </w:r>
    </w:p>
    <w:p w14:paraId="2130E3FF" w14:textId="22C99AFF" w:rsidR="00981F4B" w:rsidRPr="00144B34" w:rsidRDefault="00981F4B" w:rsidP="00981F4B">
      <w:pPr>
        <w:pStyle w:val="ListParagraph"/>
        <w:numPr>
          <w:ilvl w:val="0"/>
          <w:numId w:val="5"/>
        </w:numPr>
        <w:spacing w:line="360" w:lineRule="auto"/>
        <w:rPr>
          <w:color w:val="002E56" w:themeColor="accent1"/>
        </w:rPr>
      </w:pPr>
      <w:r w:rsidRPr="00981F4B">
        <w:rPr>
          <w:color w:val="002E56" w:themeColor="accent1"/>
        </w:rPr>
        <w:t xml:space="preserve">If the </w:t>
      </w:r>
      <w:r>
        <w:rPr>
          <w:color w:val="002E56" w:themeColor="accent1"/>
        </w:rPr>
        <w:t>lignin</w:t>
      </w:r>
      <w:r w:rsidRPr="00981F4B">
        <w:rPr>
          <w:color w:val="002E56" w:themeColor="accent1"/>
        </w:rPr>
        <w:t xml:space="preserve"> fraction differs significantly in structure, lignin</w:t>
      </w:r>
      <w:r w:rsidRPr="00981F4B">
        <w:rPr>
          <w:rFonts w:ascii="Cambria Math" w:hAnsi="Cambria Math" w:cs="Cambria Math"/>
          <w:color w:val="002E56" w:themeColor="accent1"/>
        </w:rPr>
        <w:t>‑</w:t>
      </w:r>
      <w:r w:rsidRPr="00981F4B">
        <w:rPr>
          <w:color w:val="002E56" w:themeColor="accent1"/>
        </w:rPr>
        <w:t>specific descriptors</w:t>
      </w:r>
      <w:r>
        <w:rPr>
          <w:color w:val="002E56" w:themeColor="accent1"/>
        </w:rPr>
        <w:t xml:space="preserve">, </w:t>
      </w:r>
      <w:r w:rsidRPr="00981F4B">
        <w:rPr>
          <w:color w:val="002E56" w:themeColor="accent1"/>
        </w:rPr>
        <w:t>such as Mn, dispersity, aliphatic and total OH content, or S/G/H ratio</w:t>
      </w:r>
      <w:r>
        <w:rPr>
          <w:color w:val="002E56" w:themeColor="accent1"/>
        </w:rPr>
        <w:t xml:space="preserve">, </w:t>
      </w:r>
      <w:r w:rsidRPr="00981F4B">
        <w:rPr>
          <w:color w:val="002E56" w:themeColor="accent1"/>
        </w:rPr>
        <w:t>should be incorporated into the model, or the model should be retrained or fine</w:t>
      </w:r>
      <w:r w:rsidRPr="00981F4B">
        <w:rPr>
          <w:rFonts w:ascii="Cambria Math" w:hAnsi="Cambria Math" w:cs="Cambria Math"/>
          <w:color w:val="002E56" w:themeColor="accent1"/>
        </w:rPr>
        <w:t>‑</w:t>
      </w:r>
      <w:r w:rsidRPr="00981F4B">
        <w:rPr>
          <w:color w:val="002E56" w:themeColor="accent1"/>
        </w:rPr>
        <w:t>tuned.</w:t>
      </w:r>
    </w:p>
    <w:p w14:paraId="21D665D7" w14:textId="67834A0F" w:rsidR="00981F4B" w:rsidRDefault="00981F4B" w:rsidP="00981F4B">
      <w:pPr>
        <w:spacing w:line="360" w:lineRule="auto"/>
        <w:rPr>
          <w:color w:val="002E56" w:themeColor="accent1"/>
        </w:rPr>
      </w:pPr>
      <w:r w:rsidRPr="00981F4B">
        <w:rPr>
          <w:color w:val="002E56" w:themeColor="accent1"/>
        </w:rPr>
        <w:t>We have now clarified this in the manuscript.</w:t>
      </w:r>
      <w:r>
        <w:rPr>
          <w:color w:val="002E56" w:themeColor="accent1"/>
        </w:rPr>
        <w:t xml:space="preserve"> Highlight in </w:t>
      </w:r>
      <w:r w:rsidRPr="00981F4B">
        <w:rPr>
          <w:color w:val="002E56" w:themeColor="accent1"/>
          <w:highlight w:val="yellow"/>
        </w:rPr>
        <w:t>yellow</w:t>
      </w:r>
      <w:r>
        <w:rPr>
          <w:color w:val="002E56" w:themeColor="accent1"/>
        </w:rPr>
        <w:t xml:space="preserve"> </w:t>
      </w:r>
      <w:r w:rsidRPr="00981F4B">
        <w:rPr>
          <w:color w:val="002E56" w:themeColor="accent1"/>
        </w:rPr>
        <w:t>at the end of Section 2.1 “Lignin PU Experiments</w:t>
      </w:r>
      <w:r>
        <w:rPr>
          <w:color w:val="002E56" w:themeColor="accent1"/>
        </w:rPr>
        <w:t>.</w:t>
      </w:r>
    </w:p>
    <w:p w14:paraId="130A45F1" w14:textId="7B072695" w:rsidR="00981F4B" w:rsidRPr="00981F4B" w:rsidRDefault="00981F4B" w:rsidP="00981F4B">
      <w:pPr>
        <w:spacing w:line="360" w:lineRule="auto"/>
        <w:rPr>
          <w:color w:val="002E56" w:themeColor="accent1"/>
          <w:highlight w:val="yellow"/>
        </w:rPr>
      </w:pPr>
      <w:r>
        <w:rPr>
          <w:color w:val="002E56" w:themeColor="accent1"/>
        </w:rPr>
        <w:t>“</w:t>
      </w:r>
      <w:r w:rsidRPr="00981F4B">
        <w:rPr>
          <w:color w:val="002E56" w:themeColor="accent1"/>
          <w:highlight w:val="yellow"/>
        </w:rPr>
        <w:t>Producing homogeneous PU materials requires lignin fractions that disperse uniformly within the formulation components. This is only possible when the lignin fraction contains oligomers of sufficiently low molecular weight and with a balanced distribution of aliphatic and phenolic hydroxyl groups. When lignins from different botanical origins or pulping processes undergo the same solvent</w:t>
      </w:r>
      <w:r w:rsidRPr="00981F4B">
        <w:rPr>
          <w:rFonts w:ascii="Cambria Math" w:hAnsi="Cambria Math" w:cs="Cambria Math"/>
          <w:color w:val="002E56" w:themeColor="accent1"/>
          <w:highlight w:val="yellow"/>
        </w:rPr>
        <w:t>‑</w:t>
      </w:r>
      <w:r w:rsidRPr="00981F4B">
        <w:rPr>
          <w:color w:val="002E56" w:themeColor="accent1"/>
          <w:highlight w:val="yellow"/>
        </w:rPr>
        <w:t>extraction procedure, the soluble fractions typically converge toward similar molecular</w:t>
      </w:r>
      <w:r w:rsidRPr="00981F4B">
        <w:rPr>
          <w:rFonts w:ascii="Cambria Math" w:hAnsi="Cambria Math" w:cs="Cambria Math"/>
          <w:color w:val="002E56" w:themeColor="accent1"/>
          <w:highlight w:val="yellow"/>
        </w:rPr>
        <w:t>‑</w:t>
      </w:r>
      <w:r w:rsidRPr="00981F4B">
        <w:rPr>
          <w:color w:val="002E56" w:themeColor="accent1"/>
          <w:highlight w:val="yellow"/>
        </w:rPr>
        <w:t>weight ranges and OH</w:t>
      </w:r>
      <w:r w:rsidRPr="00981F4B">
        <w:rPr>
          <w:rFonts w:ascii="Cambria Math" w:hAnsi="Cambria Math" w:cs="Cambria Math"/>
          <w:color w:val="002E56" w:themeColor="accent1"/>
          <w:highlight w:val="yellow"/>
        </w:rPr>
        <w:t>‑</w:t>
      </w:r>
      <w:r w:rsidRPr="00981F4B">
        <w:rPr>
          <w:color w:val="002E56" w:themeColor="accent1"/>
          <w:highlight w:val="yellow"/>
        </w:rPr>
        <w:t>group distributions, because the extraction selectively isolates the well</w:t>
      </w:r>
      <w:r w:rsidRPr="00981F4B">
        <w:rPr>
          <w:rFonts w:ascii="Cambria Math" w:hAnsi="Cambria Math" w:cs="Cambria Math"/>
          <w:color w:val="002E56" w:themeColor="accent1"/>
          <w:highlight w:val="yellow"/>
        </w:rPr>
        <w:t>‑</w:t>
      </w:r>
      <w:r w:rsidRPr="00981F4B">
        <w:rPr>
          <w:color w:val="002E56" w:themeColor="accent1"/>
          <w:highlight w:val="yellow"/>
        </w:rPr>
        <w:t>defined, PU</w:t>
      </w:r>
      <w:r w:rsidRPr="00981F4B">
        <w:rPr>
          <w:rFonts w:ascii="Cambria Math" w:hAnsi="Cambria Math" w:cs="Cambria Math"/>
          <w:color w:val="002E56" w:themeColor="accent1"/>
          <w:highlight w:val="yellow"/>
        </w:rPr>
        <w:t>‑</w:t>
      </w:r>
      <w:r w:rsidRPr="00981F4B">
        <w:rPr>
          <w:color w:val="002E56" w:themeColor="accent1"/>
          <w:highlight w:val="yellow"/>
        </w:rPr>
        <w:t>compatible oligomeric fraction. As a result, moderate changes in lignin source do not necessarily lead to large variations in the extracted fraction’s reactivity or dispersibility.</w:t>
      </w:r>
    </w:p>
    <w:p w14:paraId="5F7E1546" w14:textId="7A110C05" w:rsidR="00981F4B" w:rsidRDefault="00981F4B" w:rsidP="00981F4B">
      <w:pPr>
        <w:spacing w:line="360" w:lineRule="auto"/>
        <w:rPr>
          <w:color w:val="002E56" w:themeColor="accent1"/>
        </w:rPr>
      </w:pPr>
      <w:r w:rsidRPr="00981F4B">
        <w:rPr>
          <w:color w:val="002E56" w:themeColor="accent1"/>
          <w:highlight w:val="yellow"/>
        </w:rPr>
        <w:t>Significant structural differences arise only when the fractionation method or extraction conditions are drastically altered. In such cases, the resulting lignin fraction may differ in molecular weight, dispersity, or hydroxyl</w:t>
      </w:r>
      <w:r w:rsidRPr="00981F4B">
        <w:rPr>
          <w:rFonts w:ascii="Cambria Math" w:hAnsi="Cambria Math" w:cs="Cambria Math"/>
          <w:color w:val="002E56" w:themeColor="accent1"/>
          <w:highlight w:val="yellow"/>
        </w:rPr>
        <w:t>‑</w:t>
      </w:r>
      <w:r w:rsidRPr="00981F4B">
        <w:rPr>
          <w:color w:val="002E56" w:themeColor="accent1"/>
          <w:highlight w:val="yellow"/>
        </w:rPr>
        <w:t>group distribution, which would influence PU network formation. Therefore, if the lignin source is changed, two conditions must be met to maintain predictive accuracy: (</w:t>
      </w:r>
      <w:proofErr w:type="spellStart"/>
      <w:r w:rsidRPr="00981F4B">
        <w:rPr>
          <w:color w:val="002E56" w:themeColor="accent1"/>
          <w:highlight w:val="yellow"/>
        </w:rPr>
        <w:t>i</w:t>
      </w:r>
      <w:proofErr w:type="spellEnd"/>
      <w:r w:rsidRPr="00981F4B">
        <w:rPr>
          <w:color w:val="002E56" w:themeColor="accent1"/>
          <w:highlight w:val="yellow"/>
        </w:rPr>
        <w:t>) the lignin must first be fractionated to obtain a soluble, homogeneous fraction suitable for uniform PU synthesis, and (ii) if the extracted fraction differs substantially from the EKL used in this study, lignin</w:t>
      </w:r>
      <w:r w:rsidRPr="00981F4B">
        <w:rPr>
          <w:rFonts w:ascii="Cambria Math" w:hAnsi="Cambria Math" w:cs="Cambria Math"/>
          <w:color w:val="002E56" w:themeColor="accent1"/>
          <w:highlight w:val="yellow"/>
        </w:rPr>
        <w:t>‑</w:t>
      </w:r>
      <w:r w:rsidRPr="00981F4B">
        <w:rPr>
          <w:color w:val="002E56" w:themeColor="accent1"/>
          <w:highlight w:val="yellow"/>
        </w:rPr>
        <w:t>specific descriptors—such as number</w:t>
      </w:r>
      <w:r w:rsidRPr="00981F4B">
        <w:rPr>
          <w:rFonts w:ascii="Cambria Math" w:hAnsi="Cambria Math" w:cs="Cambria Math"/>
          <w:color w:val="002E56" w:themeColor="accent1"/>
          <w:highlight w:val="yellow"/>
        </w:rPr>
        <w:t>‑</w:t>
      </w:r>
      <w:r w:rsidRPr="00981F4B">
        <w:rPr>
          <w:color w:val="002E56" w:themeColor="accent1"/>
          <w:highlight w:val="yellow"/>
        </w:rPr>
        <w:t>average molecular weight (Mn), dispersity (Ð), aliphatic and total OH content, or S/G/H unit ratios</w:t>
      </w:r>
      <w:r w:rsidRPr="00981F4B">
        <w:rPr>
          <w:color w:val="002E56" w:themeColor="accent1"/>
          <w:highlight w:val="yellow"/>
        </w:rPr>
        <w:t xml:space="preserve">, </w:t>
      </w:r>
      <w:r w:rsidRPr="00981F4B">
        <w:rPr>
          <w:color w:val="002E56" w:themeColor="accent1"/>
          <w:highlight w:val="yellow"/>
        </w:rPr>
        <w:t>should be incorporated into the model, or the model should be retrained or fine</w:t>
      </w:r>
      <w:r w:rsidRPr="00981F4B">
        <w:rPr>
          <w:rFonts w:ascii="Cambria Math" w:hAnsi="Cambria Math" w:cs="Cambria Math"/>
          <w:color w:val="002E56" w:themeColor="accent1"/>
          <w:highlight w:val="yellow"/>
        </w:rPr>
        <w:t>‑</w:t>
      </w:r>
      <w:r w:rsidRPr="00981F4B">
        <w:rPr>
          <w:color w:val="002E56" w:themeColor="accent1"/>
          <w:highlight w:val="yellow"/>
        </w:rPr>
        <w:t>tuned accordingly</w:t>
      </w:r>
      <w:r w:rsidRPr="00981F4B">
        <w:rPr>
          <w:color w:val="002E56" w:themeColor="accent1"/>
          <w:highlight w:val="yellow"/>
        </w:rPr>
        <w:t>.</w:t>
      </w:r>
      <w:r>
        <w:rPr>
          <w:color w:val="002E56" w:themeColor="accent1"/>
        </w:rPr>
        <w:t>”</w:t>
      </w:r>
    </w:p>
    <w:p w14:paraId="28175168" w14:textId="77777777" w:rsidR="00981F4B" w:rsidRDefault="00981F4B" w:rsidP="00981F4B">
      <w:pPr>
        <w:spacing w:line="360" w:lineRule="auto"/>
        <w:rPr>
          <w:color w:val="002E56" w:themeColor="accent1"/>
        </w:rPr>
      </w:pPr>
    </w:p>
    <w:p w14:paraId="5D9A374C" w14:textId="030313B2" w:rsidR="00CE1C67" w:rsidRDefault="00CE1C67" w:rsidP="00981F4B">
      <w:pPr>
        <w:spacing w:line="360" w:lineRule="auto"/>
        <w:rPr>
          <w:b/>
          <w:bCs/>
          <w:lang w:val="en-US"/>
        </w:rPr>
      </w:pPr>
      <w:r w:rsidRPr="00CE1C67">
        <w:rPr>
          <w:b/>
          <w:bCs/>
          <w:lang w:val="en-US"/>
        </w:rPr>
        <w:t xml:space="preserve">4. </w:t>
      </w:r>
      <w:r w:rsidRPr="00CE1C67">
        <w:rPr>
          <w:lang w:val="en-US"/>
        </w:rPr>
        <w:t xml:space="preserve">For materials design, the developed </w:t>
      </w:r>
      <w:proofErr w:type="spellStart"/>
      <w:r w:rsidRPr="00CE1C67">
        <w:rPr>
          <w:lang w:val="en-US"/>
        </w:rPr>
        <w:t>Tg</w:t>
      </w:r>
      <w:proofErr w:type="spellEnd"/>
      <w:r w:rsidRPr="00CE1C67">
        <w:rPr>
          <w:lang w:val="en-US"/>
        </w:rPr>
        <w:t xml:space="preserve"> prediction model for lignin-PUs should inform and guide the rational design and optimization of polyurethane architectures. It is recommended to add a relevant summary in the structural discussion section.</w:t>
      </w:r>
    </w:p>
    <w:p w14:paraId="4F3E2FF3" w14:textId="77777777" w:rsidR="00144B34" w:rsidRPr="00144B34" w:rsidRDefault="00144B34" w:rsidP="00144B34">
      <w:pPr>
        <w:spacing w:line="360" w:lineRule="auto"/>
        <w:rPr>
          <w:color w:val="002E56" w:themeColor="accent1"/>
        </w:rPr>
      </w:pPr>
      <w:r w:rsidRPr="00144B34">
        <w:rPr>
          <w:color w:val="002E56" w:themeColor="accent1"/>
        </w:rPr>
        <w:t xml:space="preserve">We thank the reviewer for this constructive suggestion. We agree that the manuscript should explicitly highlight how the developed </w:t>
      </w:r>
      <w:proofErr w:type="spellStart"/>
      <w:r w:rsidRPr="00144B34">
        <w:rPr>
          <w:color w:val="002E56" w:themeColor="accent1"/>
        </w:rPr>
        <w:t>Tg</w:t>
      </w:r>
      <w:proofErr w:type="spellEnd"/>
      <w:r w:rsidRPr="00144B34">
        <w:rPr>
          <w:color w:val="002E56" w:themeColor="accent1"/>
        </w:rPr>
        <w:t xml:space="preserve"> prediction model can guide the rational design of lignin</w:t>
      </w:r>
      <w:r w:rsidRPr="00144B34">
        <w:rPr>
          <w:rFonts w:ascii="Cambria Math" w:hAnsi="Cambria Math" w:cs="Cambria Math"/>
          <w:color w:val="002E56" w:themeColor="accent1"/>
        </w:rPr>
        <w:t>‑</w:t>
      </w:r>
      <w:r w:rsidRPr="00144B34">
        <w:rPr>
          <w:color w:val="002E56" w:themeColor="accent1"/>
        </w:rPr>
        <w:t>based polyurethane architectures. We have now added a concise summary in the structural discussion section that translates the model outputs into actionable formulation guidelines.</w:t>
      </w:r>
    </w:p>
    <w:p w14:paraId="1FC24ECD" w14:textId="77777777" w:rsidR="00144B34" w:rsidRPr="00144B34" w:rsidRDefault="00144B34" w:rsidP="00144B34">
      <w:pPr>
        <w:spacing w:line="360" w:lineRule="auto"/>
        <w:rPr>
          <w:color w:val="002E56" w:themeColor="accent1"/>
        </w:rPr>
      </w:pPr>
    </w:p>
    <w:p w14:paraId="7FC5396F" w14:textId="5466DE44" w:rsidR="00144B34" w:rsidRDefault="00144B34" w:rsidP="00144B34">
      <w:pPr>
        <w:spacing w:line="360" w:lineRule="auto"/>
        <w:rPr>
          <w:color w:val="002E56" w:themeColor="accent1"/>
        </w:rPr>
      </w:pPr>
      <w:r w:rsidRPr="00144B34">
        <w:rPr>
          <w:color w:val="002E56" w:themeColor="accent1"/>
        </w:rPr>
        <w:lastRenderedPageBreak/>
        <w:t>The added text explains how the key formulation parameters</w:t>
      </w:r>
      <w:r>
        <w:rPr>
          <w:color w:val="002E56" w:themeColor="accent1"/>
        </w:rPr>
        <w:t xml:space="preserve">, </w:t>
      </w:r>
      <w:r w:rsidRPr="00144B34">
        <w:rPr>
          <w:color w:val="002E56" w:themeColor="accent1"/>
        </w:rPr>
        <w:t>lignin content, PTHF molecular weight, isocyanate functionality, and NCO/OH ratio</w:t>
      </w:r>
      <w:r>
        <w:rPr>
          <w:color w:val="002E56" w:themeColor="accent1"/>
        </w:rPr>
        <w:t xml:space="preserve">, </w:t>
      </w:r>
      <w:r w:rsidRPr="00144B34">
        <w:rPr>
          <w:color w:val="002E56" w:themeColor="accent1"/>
        </w:rPr>
        <w:t xml:space="preserve">affect the resulting network architecture and therefore the </w:t>
      </w:r>
      <w:proofErr w:type="spellStart"/>
      <w:r w:rsidRPr="00144B34">
        <w:rPr>
          <w:color w:val="002E56" w:themeColor="accent1"/>
        </w:rPr>
        <w:t>Tg</w:t>
      </w:r>
      <w:proofErr w:type="spellEnd"/>
      <w:r w:rsidRPr="00144B34">
        <w:rPr>
          <w:color w:val="002E56" w:themeColor="accent1"/>
        </w:rPr>
        <w:t>. It also clarifies how the mapping and adaptive grid search reveal clear design rules for tuning PU rigidity or flexibility. This addition strengthens the connection between the machine</w:t>
      </w:r>
      <w:r w:rsidRPr="00144B34">
        <w:rPr>
          <w:rFonts w:ascii="Cambria Math" w:hAnsi="Cambria Math" w:cs="Cambria Math"/>
          <w:color w:val="002E56" w:themeColor="accent1"/>
        </w:rPr>
        <w:t>‑</w:t>
      </w:r>
      <w:r w:rsidRPr="00144B34">
        <w:rPr>
          <w:color w:val="002E56" w:themeColor="accent1"/>
        </w:rPr>
        <w:t>learning results and practical materials design strategies.</w:t>
      </w:r>
    </w:p>
    <w:p w14:paraId="3A8369AE" w14:textId="15495FDA" w:rsidR="00144B34" w:rsidRDefault="00144B34" w:rsidP="00144B34">
      <w:pPr>
        <w:spacing w:line="360" w:lineRule="auto"/>
        <w:rPr>
          <w:color w:val="002E56" w:themeColor="accent1"/>
        </w:rPr>
      </w:pPr>
      <w:r>
        <w:rPr>
          <w:color w:val="002E56" w:themeColor="accent1"/>
        </w:rPr>
        <w:t xml:space="preserve">Inserted text at the </w:t>
      </w:r>
      <w:r w:rsidRPr="00144B34">
        <w:rPr>
          <w:color w:val="002E56" w:themeColor="accent1"/>
        </w:rPr>
        <w:t>end of Section 3.4 “Predicting New Synthesis Parameters…”</w:t>
      </w:r>
    </w:p>
    <w:p w14:paraId="4CB7C09F" w14:textId="1F6B6E39" w:rsidR="00144B34" w:rsidRDefault="00144B34" w:rsidP="00144B34">
      <w:pPr>
        <w:spacing w:line="360" w:lineRule="auto"/>
        <w:rPr>
          <w:color w:val="002E56" w:themeColor="accent1"/>
        </w:rPr>
      </w:pPr>
      <w:r>
        <w:rPr>
          <w:color w:val="002E56" w:themeColor="accent1"/>
        </w:rPr>
        <w:t>“</w:t>
      </w:r>
      <w:r w:rsidRPr="00144B34">
        <w:rPr>
          <w:color w:val="002E56" w:themeColor="accent1"/>
        </w:rPr>
        <w:t>The mapping and adaptive grid search provide clear structure–property design rules for lignin</w:t>
      </w:r>
      <w:r w:rsidRPr="00144B34">
        <w:rPr>
          <w:color w:val="002E56" w:themeColor="accent1"/>
        </w:rPr>
        <w:noBreakHyphen/>
        <w:t>based PU architectures. High</w:t>
      </w:r>
      <w:r w:rsidRPr="00144B34">
        <w:rPr>
          <w:color w:val="002E56" w:themeColor="accent1"/>
        </w:rPr>
        <w:noBreakHyphen/>
      </w:r>
      <w:proofErr w:type="spellStart"/>
      <w:r w:rsidRPr="00144B34">
        <w:rPr>
          <w:color w:val="002E56" w:themeColor="accent1"/>
        </w:rPr>
        <w:t>Tg</w:t>
      </w:r>
      <w:proofErr w:type="spellEnd"/>
      <w:r w:rsidRPr="00144B34">
        <w:rPr>
          <w:color w:val="002E56" w:themeColor="accent1"/>
        </w:rPr>
        <w:t xml:space="preserve"> formulations are consistently associated with structural features that increase network rigidity, such as elevated lignin content, higher</w:t>
      </w:r>
      <w:r w:rsidRPr="00144B34">
        <w:rPr>
          <w:color w:val="002E56" w:themeColor="accent1"/>
        </w:rPr>
        <w:noBreakHyphen/>
        <w:t>functionality isocyanates (e.g., HDI trimer), and higher NCO/OH ratios, all of which promote increased crosslink density and reduced segmental mobility. Conversely, lower</w:t>
      </w:r>
      <w:r w:rsidRPr="00144B34">
        <w:rPr>
          <w:color w:val="002E56" w:themeColor="accent1"/>
        </w:rPr>
        <w:noBreakHyphen/>
      </w:r>
      <w:proofErr w:type="spellStart"/>
      <w:r w:rsidRPr="00144B34">
        <w:rPr>
          <w:color w:val="002E56" w:themeColor="accent1"/>
        </w:rPr>
        <w:t>Tg</w:t>
      </w:r>
      <w:proofErr w:type="spellEnd"/>
      <w:r w:rsidRPr="00144B34">
        <w:rPr>
          <w:color w:val="002E56" w:themeColor="accent1"/>
        </w:rPr>
        <w:t xml:space="preserve"> materials arise from architectures dominated by longer PTHF soft segments and lower crosslink density, which enhance chain flexibility and free volume. These trends demonstrate how the model can be used as a practical design tool to rationally tune PU network architecture toward targeted thermomechanical performance across coatings, films, foams, and elastomeric applications.”</w:t>
      </w:r>
    </w:p>
    <w:p w14:paraId="647C28CF" w14:textId="77777777" w:rsidR="00944913" w:rsidRDefault="00944913" w:rsidP="00144B34">
      <w:pPr>
        <w:spacing w:line="360" w:lineRule="auto"/>
        <w:rPr>
          <w:color w:val="002E56" w:themeColor="accent1"/>
        </w:rPr>
      </w:pPr>
    </w:p>
    <w:p w14:paraId="459E1296" w14:textId="4C394924" w:rsidR="00294598" w:rsidRDefault="00294598" w:rsidP="00144B34">
      <w:pPr>
        <w:spacing w:line="360" w:lineRule="auto"/>
        <w:rPr>
          <w:lang w:val="en-US"/>
        </w:rPr>
      </w:pPr>
      <w:r w:rsidRPr="00294598">
        <w:rPr>
          <w:b/>
          <w:bCs/>
          <w:lang w:val="en-US"/>
        </w:rPr>
        <w:t>5.</w:t>
      </w:r>
      <w:r w:rsidRPr="00294598">
        <w:rPr>
          <w:lang w:val="en-US"/>
        </w:rPr>
        <w:t xml:space="preserve"> The interpretation of the model results should be more deeply connected to established polymer physics theories. It is recommended to explicitly discuss how the key predictive features identified by the model correlate with fundamental concepts such as crosslink density, chain mobility, and free volume theory to explain their influence on the glass transition temperature.</w:t>
      </w:r>
    </w:p>
    <w:p w14:paraId="78F57D73" w14:textId="77777777" w:rsidR="00944913" w:rsidRPr="00944913" w:rsidRDefault="00944913" w:rsidP="00944913">
      <w:pPr>
        <w:spacing w:line="360" w:lineRule="auto"/>
        <w:rPr>
          <w:color w:val="002E56" w:themeColor="accent1"/>
        </w:rPr>
      </w:pPr>
      <w:r w:rsidRPr="00944913">
        <w:rPr>
          <w:color w:val="002E56" w:themeColor="accent1"/>
        </w:rPr>
        <w:t>We thank the reviewer for this valuable suggestion. We agree that connecting the model’s predictive features to established polymer</w:t>
      </w:r>
      <w:r w:rsidRPr="00944913">
        <w:rPr>
          <w:rFonts w:ascii="Cambria Math" w:hAnsi="Cambria Math" w:cs="Cambria Math"/>
          <w:color w:val="002E56" w:themeColor="accent1"/>
        </w:rPr>
        <w:t>‑</w:t>
      </w:r>
      <w:r w:rsidRPr="00944913">
        <w:rPr>
          <w:color w:val="002E56" w:themeColor="accent1"/>
        </w:rPr>
        <w:t>physics concepts strengthens the scientific interpretation. In this study, we also performed DMA measurements for all PU formulations across a wide temperature range (−150 °C to 200 °C). However, due to the extremely broad formulation space explored, the viscoelastic profiles varied substantially between samples. Many formulations exhibited multiple tan δ relaxations associated with different network domains, and the diversity in soft</w:t>
      </w:r>
      <w:r w:rsidRPr="00944913">
        <w:rPr>
          <w:rFonts w:ascii="Cambria Math" w:hAnsi="Cambria Math" w:cs="Cambria Math"/>
          <w:color w:val="002E56" w:themeColor="accent1"/>
        </w:rPr>
        <w:t>‑</w:t>
      </w:r>
      <w:r w:rsidRPr="00944913">
        <w:rPr>
          <w:color w:val="002E56" w:themeColor="accent1"/>
        </w:rPr>
        <w:t xml:space="preserve">segment content made it impractical to define a single, physically meaningful reference temperature (e.g., </w:t>
      </w:r>
      <w:proofErr w:type="spellStart"/>
      <w:r w:rsidRPr="00944913">
        <w:rPr>
          <w:color w:val="002E56" w:themeColor="accent1"/>
        </w:rPr>
        <w:t>Tg</w:t>
      </w:r>
      <w:proofErr w:type="spellEnd"/>
      <w:r w:rsidRPr="00944913">
        <w:rPr>
          <w:color w:val="002E56" w:themeColor="accent1"/>
        </w:rPr>
        <w:t> + 20 °C) for estimating absolute or relative crosslink density across all samples. For highly elastomeric formulations, temperatures above 150–180 °C are not representative of their operational regime, while more rigid formulations show overlapping relaxations that complicate quantitative extraction of network parameters.</w:t>
      </w:r>
    </w:p>
    <w:p w14:paraId="682C4335" w14:textId="77777777" w:rsidR="00944913" w:rsidRPr="00944913" w:rsidRDefault="00944913" w:rsidP="00944913">
      <w:pPr>
        <w:spacing w:line="360" w:lineRule="auto"/>
        <w:rPr>
          <w:color w:val="002E56" w:themeColor="accent1"/>
        </w:rPr>
      </w:pPr>
      <w:r w:rsidRPr="00944913">
        <w:rPr>
          <w:color w:val="002E56" w:themeColor="accent1"/>
        </w:rPr>
        <w:t>For these reasons, and to ensure consistent comparison across the entire dataset, we used swelling ratio as an experimentally accessible and formulation</w:t>
      </w:r>
      <w:r w:rsidRPr="00944913">
        <w:rPr>
          <w:rFonts w:ascii="Cambria Math" w:hAnsi="Cambria Math" w:cs="Cambria Math"/>
          <w:color w:val="002E56" w:themeColor="accent1"/>
        </w:rPr>
        <w:t>‑</w:t>
      </w:r>
      <w:r w:rsidRPr="00944913">
        <w:rPr>
          <w:color w:val="002E56" w:themeColor="accent1"/>
        </w:rPr>
        <w:t xml:space="preserve">agnostic proxy for network tightness. Swelling </w:t>
      </w:r>
      <w:proofErr w:type="spellStart"/>
      <w:r w:rsidRPr="00944913">
        <w:rPr>
          <w:color w:val="002E56" w:themeColor="accent1"/>
        </w:rPr>
        <w:t>behavior</w:t>
      </w:r>
      <w:proofErr w:type="spellEnd"/>
      <w:r w:rsidRPr="00944913">
        <w:rPr>
          <w:color w:val="002E56" w:themeColor="accent1"/>
        </w:rPr>
        <w:t xml:space="preserve"> is widely recognized to correlate with effective crosslink density and segmental mobility, and </w:t>
      </w:r>
      <w:r w:rsidRPr="00944913">
        <w:rPr>
          <w:color w:val="002E56" w:themeColor="accent1"/>
        </w:rPr>
        <w:lastRenderedPageBreak/>
        <w:t>unlike DMA</w:t>
      </w:r>
      <w:r w:rsidRPr="00944913">
        <w:rPr>
          <w:rFonts w:ascii="Cambria Math" w:hAnsi="Cambria Math" w:cs="Cambria Math"/>
          <w:color w:val="002E56" w:themeColor="accent1"/>
        </w:rPr>
        <w:t>‑</w:t>
      </w:r>
      <w:r w:rsidRPr="00944913">
        <w:rPr>
          <w:color w:val="002E56" w:themeColor="accent1"/>
        </w:rPr>
        <w:t>based crosslink calculations, it can be applied uniformly to all formulations regardless of their viscoelastic complexity. This allowed us to incorporate a physically meaningful descriptor related to network structure while maintaining methodological consistency.</w:t>
      </w:r>
    </w:p>
    <w:p w14:paraId="401CB4CB" w14:textId="4E7F58E5" w:rsidR="00294598" w:rsidRDefault="00944913" w:rsidP="00944913">
      <w:pPr>
        <w:spacing w:line="360" w:lineRule="auto"/>
        <w:rPr>
          <w:color w:val="002E56" w:themeColor="accent1"/>
        </w:rPr>
      </w:pPr>
      <w:r w:rsidRPr="00944913">
        <w:rPr>
          <w:color w:val="002E56" w:themeColor="accent1"/>
        </w:rPr>
        <w:t>We have now expanded the manuscript to explicitly link the key predictive features</w:t>
      </w:r>
      <w:r>
        <w:rPr>
          <w:color w:val="002E56" w:themeColor="accent1"/>
        </w:rPr>
        <w:t xml:space="preserve">, </w:t>
      </w:r>
      <w:r w:rsidRPr="00944913">
        <w:rPr>
          <w:color w:val="002E56" w:themeColor="accent1"/>
        </w:rPr>
        <w:t>lignin content, PTHF molecular weight, isocyanate functionality, NCO/OH ratio, and swelling ratio</w:t>
      </w:r>
      <w:r>
        <w:rPr>
          <w:color w:val="002E56" w:themeColor="accent1"/>
        </w:rPr>
        <w:t xml:space="preserve">, </w:t>
      </w:r>
      <w:r w:rsidRPr="00944913">
        <w:rPr>
          <w:color w:val="002E56" w:themeColor="accent1"/>
        </w:rPr>
        <w:t>to classical concepts such as crosslink density, chain mobility, and free</w:t>
      </w:r>
      <w:r w:rsidRPr="00944913">
        <w:rPr>
          <w:rFonts w:ascii="Cambria Math" w:hAnsi="Cambria Math" w:cs="Cambria Math"/>
          <w:color w:val="002E56" w:themeColor="accent1"/>
        </w:rPr>
        <w:t>‑</w:t>
      </w:r>
      <w:r w:rsidRPr="00944913">
        <w:rPr>
          <w:color w:val="002E56" w:themeColor="accent1"/>
        </w:rPr>
        <w:t>volume theory. This addition clarifies that the model captures physically interpretable structure–property relationships. A more detailed viscoelastic analysis of the DMA dataset will be addressed in a separate study focused specifically on network dynamics.</w:t>
      </w:r>
    </w:p>
    <w:p w14:paraId="49EB570D" w14:textId="200BE528" w:rsidR="00944913" w:rsidRPr="00294598" w:rsidRDefault="00944913" w:rsidP="00944913">
      <w:pPr>
        <w:spacing w:line="360" w:lineRule="auto"/>
      </w:pPr>
      <w:r>
        <w:rPr>
          <w:color w:val="002E56" w:themeColor="accent1"/>
        </w:rPr>
        <w:t xml:space="preserve">The text insertion is added at the </w:t>
      </w:r>
      <w:r w:rsidRPr="00944913">
        <w:rPr>
          <w:color w:val="002E56" w:themeColor="accent1"/>
        </w:rPr>
        <w:t>end of Section 3.3 “Mapping for Model Behavior”</w:t>
      </w:r>
    </w:p>
    <w:p w14:paraId="1AF6F321" w14:textId="67D7C232" w:rsidR="00294598" w:rsidRPr="00294598" w:rsidRDefault="00944913" w:rsidP="00CE1C67">
      <w:pPr>
        <w:spacing w:line="360" w:lineRule="auto"/>
        <w:rPr>
          <w:color w:val="002E56" w:themeColor="accent1"/>
          <w:lang w:val="en-US"/>
        </w:rPr>
      </w:pPr>
      <w:r w:rsidRPr="00944913">
        <w:rPr>
          <w:color w:val="002E56" w:themeColor="accent1"/>
          <w:highlight w:val="yellow"/>
        </w:rPr>
        <w:t>“The feature</w:t>
      </w:r>
      <w:r w:rsidRPr="00944913">
        <w:rPr>
          <w:color w:val="002E56" w:themeColor="accent1"/>
          <w:highlight w:val="yellow"/>
        </w:rPr>
        <w:noBreakHyphen/>
        <w:t>importance trends identified by the ensemble model align closely with established polymer</w:t>
      </w:r>
      <w:r w:rsidRPr="00944913">
        <w:rPr>
          <w:color w:val="002E56" w:themeColor="accent1"/>
          <w:highlight w:val="yellow"/>
        </w:rPr>
        <w:noBreakHyphen/>
        <w:t xml:space="preserve">physics principles governing the glass transition. Increasing lignin content introduces rigid aromatic domains and multifunctional reactive sites, which elevate the effective crosslink density and restrict segmental mobility, leading to higher </w:t>
      </w:r>
      <w:proofErr w:type="spellStart"/>
      <w:r w:rsidRPr="00944913">
        <w:rPr>
          <w:color w:val="002E56" w:themeColor="accent1"/>
          <w:highlight w:val="yellow"/>
        </w:rPr>
        <w:t>Tg</w:t>
      </w:r>
      <w:proofErr w:type="spellEnd"/>
      <w:r w:rsidRPr="00944913">
        <w:rPr>
          <w:color w:val="002E56" w:themeColor="accent1"/>
          <w:highlight w:val="yellow"/>
        </w:rPr>
        <w:t xml:space="preserve">. In contrast, longer PTHF chains act as flexible soft segments that increase free volume and chain mobility, resulting in lower </w:t>
      </w:r>
      <w:proofErr w:type="spellStart"/>
      <w:r w:rsidRPr="00944913">
        <w:rPr>
          <w:color w:val="002E56" w:themeColor="accent1"/>
          <w:highlight w:val="yellow"/>
        </w:rPr>
        <w:t>Tg</w:t>
      </w:r>
      <w:proofErr w:type="spellEnd"/>
      <w:r w:rsidRPr="00944913">
        <w:rPr>
          <w:color w:val="002E56" w:themeColor="accent1"/>
          <w:highlight w:val="yellow"/>
        </w:rPr>
        <w:t xml:space="preserve">. The NCO/OH ratio and the functionality of the isocyanate determine the extent of network formation; higher ratios or the use of multifunctional isocyanates (e.g., HDI trimer) promote denser urethane and allophanate crosslinking, which reduces configurational freedom and raises </w:t>
      </w:r>
      <w:proofErr w:type="spellStart"/>
      <w:r w:rsidRPr="00944913">
        <w:rPr>
          <w:color w:val="002E56" w:themeColor="accent1"/>
          <w:highlight w:val="yellow"/>
        </w:rPr>
        <w:t>Tg</w:t>
      </w:r>
      <w:proofErr w:type="spellEnd"/>
      <w:r w:rsidRPr="00944913">
        <w:rPr>
          <w:color w:val="002E56" w:themeColor="accent1"/>
          <w:highlight w:val="yellow"/>
        </w:rPr>
        <w:t xml:space="preserve">. The swelling ratio provides an experimentally accessible proxy for network density: highly swollen networks correspond to lower crosslink density and therefore lower </w:t>
      </w:r>
      <w:proofErr w:type="spellStart"/>
      <w:r w:rsidRPr="00944913">
        <w:rPr>
          <w:color w:val="002E56" w:themeColor="accent1"/>
          <w:highlight w:val="yellow"/>
        </w:rPr>
        <w:t>Tg</w:t>
      </w:r>
      <w:proofErr w:type="spellEnd"/>
      <w:r w:rsidRPr="00944913">
        <w:rPr>
          <w:color w:val="002E56" w:themeColor="accent1"/>
          <w:highlight w:val="yellow"/>
        </w:rPr>
        <w:t>. Swelling was selected instead of DMA</w:t>
      </w:r>
      <w:r w:rsidRPr="00944913">
        <w:rPr>
          <w:color w:val="002E56" w:themeColor="accent1"/>
          <w:highlight w:val="yellow"/>
        </w:rPr>
        <w:noBreakHyphen/>
        <w:t>derived crosslink density because the broad formulation space produced complex and multi</w:t>
      </w:r>
      <w:r w:rsidRPr="00944913">
        <w:rPr>
          <w:color w:val="002E56" w:themeColor="accent1"/>
          <w:highlight w:val="yellow"/>
        </w:rPr>
        <w:noBreakHyphen/>
        <w:t>modal viscoelastic responses that precluded the use of a single, physically meaningful reference temperature across all samples. Together, these correlations show that the model captures physically meaningful structure–property relationships rooted in crosslink density, chain mobility, and free</w:t>
      </w:r>
      <w:r w:rsidRPr="00944913">
        <w:rPr>
          <w:color w:val="002E56" w:themeColor="accent1"/>
          <w:highlight w:val="yellow"/>
        </w:rPr>
        <w:noBreakHyphen/>
        <w:t>volume considerations.”</w:t>
      </w:r>
      <w:r w:rsidR="00294598" w:rsidRPr="00294598">
        <w:rPr>
          <w:color w:val="002E56" w:themeColor="accent1"/>
          <w:lang w:val="en-US"/>
        </w:rPr>
        <w:br/>
      </w:r>
    </w:p>
    <w:p w14:paraId="14A0DE1F" w14:textId="77777777" w:rsidR="00294598" w:rsidRDefault="00294598" w:rsidP="00CE1C67">
      <w:pPr>
        <w:spacing w:line="360" w:lineRule="auto"/>
        <w:rPr>
          <w:color w:val="002E56" w:themeColor="accent1"/>
        </w:rPr>
      </w:pPr>
    </w:p>
    <w:p w14:paraId="3B52C103" w14:textId="503D600A" w:rsidR="00FE5884" w:rsidRPr="00FE5884" w:rsidRDefault="00CE1C67" w:rsidP="00CE1C67">
      <w:pPr>
        <w:spacing w:line="360" w:lineRule="auto"/>
        <w:rPr>
          <w:lang w:val="en-US"/>
        </w:rPr>
      </w:pPr>
      <w:r w:rsidRPr="00CE1C67">
        <w:rPr>
          <w:b/>
          <w:bCs/>
          <w:lang w:val="en-US"/>
        </w:rPr>
        <w:br/>
      </w:r>
      <w:r w:rsidRPr="00CE1C67">
        <w:rPr>
          <w:b/>
          <w:bCs/>
          <w:lang w:val="en-US"/>
        </w:rPr>
        <w:br/>
      </w:r>
      <w:r w:rsidRPr="00CE1C67">
        <w:rPr>
          <w:b/>
          <w:bCs/>
          <w:lang w:val="en-US"/>
        </w:rPr>
        <w:br/>
      </w:r>
      <w:r w:rsidRPr="00CE1C67">
        <w:rPr>
          <w:b/>
          <w:bCs/>
          <w:lang w:val="en-US"/>
        </w:rPr>
        <w:br/>
      </w:r>
    </w:p>
    <w:sectPr w:rsidR="00FE5884" w:rsidRPr="00FE5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553"/>
    <w:multiLevelType w:val="hybridMultilevel"/>
    <w:tmpl w:val="EB442C2E"/>
    <w:lvl w:ilvl="0" w:tplc="CE38EB14">
      <w:numFmt w:val="bullet"/>
      <w:lvlText w:val=""/>
      <w:lvlJc w:val="left"/>
      <w:pPr>
        <w:ind w:left="720" w:hanging="360"/>
      </w:pPr>
      <w:rPr>
        <w:rFonts w:ascii="Calibri" w:eastAsia="Times New Roman"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7203159"/>
    <w:multiLevelType w:val="hybridMultilevel"/>
    <w:tmpl w:val="A2F4FA0A"/>
    <w:lvl w:ilvl="0" w:tplc="CE38EB14">
      <w:numFmt w:val="bullet"/>
      <w:lvlText w:val=""/>
      <w:lvlJc w:val="left"/>
      <w:pPr>
        <w:ind w:left="720" w:hanging="360"/>
      </w:pPr>
      <w:rPr>
        <w:rFonts w:ascii="Calibri" w:eastAsia="Times New Roman"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3B2854"/>
    <w:multiLevelType w:val="hybridMultilevel"/>
    <w:tmpl w:val="1290A17C"/>
    <w:lvl w:ilvl="0" w:tplc="B51EE72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A387A4A"/>
    <w:multiLevelType w:val="hybridMultilevel"/>
    <w:tmpl w:val="9BE8BD8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51E03C8A"/>
    <w:multiLevelType w:val="hybridMultilevel"/>
    <w:tmpl w:val="70BC6568"/>
    <w:lvl w:ilvl="0" w:tplc="B51EE72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617419">
    <w:abstractNumId w:val="3"/>
  </w:num>
  <w:num w:numId="2" w16cid:durableId="543950563">
    <w:abstractNumId w:val="0"/>
  </w:num>
  <w:num w:numId="3" w16cid:durableId="1429349396">
    <w:abstractNumId w:val="1"/>
  </w:num>
  <w:num w:numId="4" w16cid:durableId="1242642847">
    <w:abstractNumId w:val="4"/>
  </w:num>
  <w:num w:numId="5" w16cid:durableId="527109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84"/>
    <w:rsid w:val="00144B34"/>
    <w:rsid w:val="00154878"/>
    <w:rsid w:val="001B0728"/>
    <w:rsid w:val="00294598"/>
    <w:rsid w:val="00313FA2"/>
    <w:rsid w:val="00420800"/>
    <w:rsid w:val="004E34A4"/>
    <w:rsid w:val="004E3FBB"/>
    <w:rsid w:val="005C6B41"/>
    <w:rsid w:val="00653A55"/>
    <w:rsid w:val="00656D79"/>
    <w:rsid w:val="007179E2"/>
    <w:rsid w:val="007664D4"/>
    <w:rsid w:val="008A7479"/>
    <w:rsid w:val="008F6765"/>
    <w:rsid w:val="00944913"/>
    <w:rsid w:val="00981F4B"/>
    <w:rsid w:val="009A78E8"/>
    <w:rsid w:val="00AE362B"/>
    <w:rsid w:val="00C216CD"/>
    <w:rsid w:val="00C83907"/>
    <w:rsid w:val="00CA269F"/>
    <w:rsid w:val="00CE1C67"/>
    <w:rsid w:val="00DB155D"/>
    <w:rsid w:val="00DF4A2A"/>
    <w:rsid w:val="00FE588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5A33"/>
  <w15:chartTrackingRefBased/>
  <w15:docId w15:val="{61452174-B782-4D10-8897-362DE605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kern w:val="2"/>
        <w:sz w:val="22"/>
        <w:lang w:val="x-non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after="160"/>
      <w:ind w:left="864" w:right="864"/>
      <w:jc w:val="center"/>
    </w:pPr>
    <w:rPr>
      <w:rFonts w:asciiTheme="minorHAnsi" w:hAnsiTheme="minorHAnsi"/>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asciiTheme="minorHAnsi" w:eastAsiaTheme="majorEastAsia" w:hAnsiTheme="minorHAnsi"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rFonts w:asciiTheme="minorHAnsi" w:hAnsiTheme="minorHAnsi"/>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FE5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Comí Bonachí</dc:creator>
  <cp:keywords/>
  <dc:description/>
  <cp:lastModifiedBy>Marc Comí Bonachí</cp:lastModifiedBy>
  <cp:revision>2</cp:revision>
  <dcterms:created xsi:type="dcterms:W3CDTF">2026-03-02T10:50:00Z</dcterms:created>
  <dcterms:modified xsi:type="dcterms:W3CDTF">2026-03-02T13:44:00Z</dcterms:modified>
</cp:coreProperties>
</file>