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0001" w14:textId="77777777" w:rsidR="00AA728A" w:rsidRDefault="00AA728A">
      <w:pPr>
        <w:spacing w:before="120" w:after="0" w:line="23" w:lineRule="atLeast"/>
        <w:jc w:val="center"/>
        <w:rPr>
          <w:rFonts w:ascii="Arial" w:eastAsiaTheme="minorEastAsia" w:hAnsi="Arial" w:cs="Arial"/>
          <w:b/>
          <w:kern w:val="0"/>
          <w:sz w:val="22"/>
          <w:szCs w:val="22"/>
          <w:lang w:val="ro-RO"/>
          <w14:ligatures w14:val="none"/>
        </w:rPr>
      </w:pPr>
    </w:p>
    <w:p w14:paraId="10000002"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DE PREDARE – PRIMIRE</w:t>
      </w:r>
    </w:p>
    <w:p w14:paraId="10000003"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AMPLASAMENT</w:t>
      </w:r>
    </w:p>
    <w:p w14:paraId="10000004"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05"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06"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amplasament predat (obiectiv, adresă, etc.):</w:t>
      </w:r>
    </w:p>
    <w:p w14:paraId="10000007"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la „{obiectiv}”, comuna {locatie}.</w:t>
      </w:r>
    </w:p>
    <w:p w14:paraId="10000008"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09"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1000000A"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{autorizatie_nr} din {autorizatie_data} emisă de Consiliul Primăriei Comunei {locatie};</w:t>
      </w:r>
    </w:p>
    <w:p w14:paraId="1000000B"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{proiect_nr}, întocmit de {proiectant_companie}, planșele {planse}, Cf. C56-02, Caiet Instalatii I-Instalatii electrice interioare.</w:t>
      </w:r>
    </w:p>
    <w:p w14:paraId="1000000C"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0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r>
        <w:rPr>
          <w:rFonts w:ascii="Arial" w:eastAsiaTheme="minorEastAsia" w:hAnsi="Arial" w:cs="Arial"/>
          <w:b/>
          <w:bCs/>
          <w:kern w:val="0"/>
          <w:sz w:val="22"/>
          <w:szCs w:val="22"/>
          <w:lang w:val="ro-RO"/>
          <w14:ligatures w14:val="none"/>
        </w:rPr>
        <w:t xml:space="preserve">{diriginte_nume}</w:t>
      </w:r>
      <w:r>
        <w:rPr>
          <w:rFonts w:ascii="Arial" w:eastAsiaTheme="minorEastAsia" w:hAnsi="Arial" w:cs="Arial"/>
          <w:kern w:val="0"/>
          <w:sz w:val="22"/>
          <w:szCs w:val="22"/>
          <w:lang w:val="ro-RO"/>
          <w14:ligatures w14:val="none"/>
        </w:rPr>
        <w:t xml:space="preserve">, </w:t>
      </w:r>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lang w:val="ro-RO"/>
          <w14:ligatures w14:val="none"/>
        </w:rPr>
        <w:t xml:space="preserve">„</w:t>
      </w:r>
      <w:r>
        <w:rPr>
          <w:rFonts w:ascii="Arial" w:eastAsiaTheme="minorEastAsia" w:hAnsi="Arial" w:cs="Arial"/>
          <w:b/>
          <w:bCs/>
          <w:i/>
          <w:iCs/>
          <w:kern w:val="0"/>
          <w:sz w:val="22"/>
          <w:szCs w:val="22"/>
          <w:lang w:val="ro-RO"/>
          <w14:ligatures w14:val="none"/>
        </w:rPr>
        <w:t xml:space="preserve">{obiectiv}</w:t>
      </w:r>
      <w:r>
        <w:rPr>
          <w:rFonts w:ascii="Arial" w:eastAsiaTheme="minorEastAsia" w:hAnsi="Arial" w:cs="Arial"/>
          <w:b/>
          <w:bCs/>
          <w:i/>
          <w:iCs/>
          <w:kern w:val="0"/>
          <w:sz w:val="22"/>
          <w:szCs w:val="22"/>
          <w:lang w:val="ro-RO"/>
          <w14:ligatures w14:val="none"/>
        </w:rPr>
        <w:t xml:space="preserve">”</w:t>
      </w:r>
      <w:r>
        <w:rPr>
          <w:rFonts w:ascii="Arial" w:eastAsiaTheme="minorEastAsia" w:hAnsi="Arial" w:cs="Arial"/>
          <w:kern w:val="0"/>
          <w:sz w:val="22"/>
          <w:szCs w:val="22"/>
          <w:lang w:val="ro-RO"/>
          <w14:ligatures w14:val="none"/>
        </w:rPr>
        <w:t xml:space="preserve"> către constructorul S.C. CORNELL’S FLOOR S.R.L. Botoșani, reprezentat de </w:t>
      </w:r>
      <w:r>
        <w:rPr>
          <w:rFonts w:ascii="Arial" w:eastAsiaTheme="minorEastAsia" w:hAnsi="Arial" w:cs="Arial"/>
          <w:b/>
          <w:bCs/>
          <w:kern w:val="0"/>
          <w:sz w:val="22"/>
          <w:szCs w:val="22"/>
          <w:lang w:val="ro-RO"/>
          <w14:ligatures w14:val="none"/>
        </w:rPr>
        <w:t xml:space="preserve">ing. {constructor_reprezentant}</w:t>
      </w:r>
      <w:r>
        <w:rPr>
          <w:rFonts w:ascii="Arial" w:eastAsiaTheme="minorEastAsia" w:hAnsi="Arial" w:cs="Arial"/>
          <w:kern w:val="0"/>
          <w:sz w:val="22"/>
          <w:szCs w:val="22"/>
          <w:lang w:val="ro-RO"/>
          <w14:ligatures w14:val="none"/>
        </w:rPr>
        <w:t xml:space="preserve">, care preia amplasamentul pentru executarea lucrărilor de instalații electrice interioare, în condițiile stabilite de autorizația de construire și de proiectul mai sus amintit.</w:t>
      </w:r>
    </w:p>
    <w:p w14:paraId="1000000E"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0F"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Amplasamentul predat corespunde cu planurile de instalații electrice din proiectul nr. {proiect_nr}.</w:t>
      </w:r>
    </w:p>
    <w:p w14:paraId="1000001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Constructorul a verificat vizual accesul la punctele de racordare și traseele prevăzute pentru instalația electrică.</w:t>
      </w:r>
    </w:p>
    <w:p w14:paraId="1000001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executarea lucrărilor de instalații electrice interioare.</w:t>
      </w:r>
    </w:p>
    <w:p w14:paraId="10000012"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5"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16"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17"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18"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19"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TRASARE</w:t>
      </w:r>
    </w:p>
    <w:p w14:paraId="1000001A"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INSTALAȚIEI ELECTRICE</w:t>
      </w:r>
    </w:p>
    <w:p w14:paraId="1000001B"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1C"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1D"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Trasarea a fost executata pe baza planselor {planse}, Cf. C56-02, Caiet Instalatii I-Instalatii electrice interioare.</w:t>
      </w:r>
    </w:p>
    <w:p w14:paraId="1000001E"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1F"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Elementul de reper și verificarea este: (tablou electric, doze de derivație, trasee tuburi/cabluri, etc.)</w:t>
      </w:r>
    </w:p>
    <w:p w14:paraId="10000020"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21"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Concluzii:</w:t>
      </w:r>
    </w:p>
    <w:p w14:paraId="10000022"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făcut trasarea traseelor de cabluri și a pozițiilor tablourilor/dozelor conform proiectului tehnic nr. {proiect_nr}.</w:t>
      </w:r>
    </w:p>
    <w:p w14:paraId="10000023"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identificat intersecția cu alte instalații/rețele din amplasament.</w:t>
      </w:r>
    </w:p>
    <w:p w14:paraId="10000024"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Reperele de trasare au fost materializate și protejate corespunzător pentru evitarea deplasării acestora pe parcursul execuției.</w:t>
      </w:r>
    </w:p>
    <w:p w14:paraId="10000025"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Din punct de vedere tehnic, abaterile constatate la trasare se încadrează în toleranțele admise de proiect.</w:t>
      </w:r>
    </w:p>
    <w:p w14:paraId="10000026"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autorizează începerea lucrărilor de montaj a instalației electrice.</w:t>
      </w:r>
    </w:p>
    <w:p w14:paraId="1000002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8"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A"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2B"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2C"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2D"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2E"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DE RECEPȚIE CALITATIVĂ</w:t>
      </w:r>
    </w:p>
    <w:p w14:paraId="1000002F"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MATERIALELOR ȘI ECHIPAMENTELOR ELECTRICE</w:t>
      </w:r>
    </w:p>
    <w:p w14:paraId="10000030"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31"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32"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33"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Recepția calitativă a materialelor și echipamentelor electrice la primirea pe șantier, Cf. C56-02, Caiet Instalatii I-Instalatii electrice interioare;</w:t>
      </w:r>
    </w:p>
    <w:p w14:paraId="10000034"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35"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36"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37"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w:t>
      </w:r>
    </w:p>
    <w:p w14:paraId="10000038"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39"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S-au verificat caracteristicile tehnice și calitatea materialelor și echipamentelor electrice ce urmează a fi puse în operă, acestea fiind conforme cu documentația tehnică.</w:t>
      </w:r>
    </w:p>
    <w:p w14:paraId="1000003A"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Materialele și echipamentele sunt însoțite de certificate de calitate/conformitate și au fost depozitate corespunzător pe șantier.</w:t>
      </w:r>
    </w:p>
    <w:p w14:paraId="1000003B"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constatate deteriorări mecanice sau defecte vizibile ale materialelor și echipamentelor electrice.</w:t>
      </w:r>
    </w:p>
    <w:p w14:paraId="1000003C"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3D"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3E"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0"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41"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42"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43"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44"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PENTRU VERIFICAREA CALITĂȚII</w:t>
      </w:r>
    </w:p>
    <w:p w14:paraId="10000045"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LUCRĂRILOR CE DEVIN ASCUNSE</w:t>
      </w:r>
    </w:p>
    <w:p w14:paraId="10000046"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47"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48"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49"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Montarea tuburilor de protecție și pozarea cablurilor electrice ce devin ascunse, Cf. C56-02, Caiet Instalatii I-Instalatii electrice interioare;</w:t>
      </w:r>
    </w:p>
    <w:p w14:paraId="1000004A"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4B"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Elementul de identificare:</w:t>
      </w:r>
    </w:p>
    <w:p w14:paraId="1000004C"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4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tehnic nr. {proiect_nr}, elaborat de {proiectant_companie}, conform planșelor {planse};</w:t>
      </w:r>
    </w:p>
    <w:p w14:paraId="1000004E"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4F"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Tuburile de protecție și cablurile electrice au fost montate conform traseelor din proiectul tehnic nr. {proiect_nr}.</w:t>
      </w:r>
    </w:p>
    <w:p w14:paraId="1000005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Îmbinările și derivațiile au fost executate corect, fără deteriorarea izolației conductoarelor.</w:t>
      </w:r>
    </w:p>
    <w:p w14:paraId="1000005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identificate neconformități care să impună remedieri înainte de acoperirea/închiderea traseelor.</w:t>
      </w:r>
    </w:p>
    <w:p w14:paraId="10000052"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5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54"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56"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57"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58"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59"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5A"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Proiectant.:              Ing. {proiectant_reprezentant}</w:t>
        <w:tab/>
        <w:t>……………..</w:t>
      </w:r>
    </w:p>
    <w:p w14:paraId="1000005B"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RECEPȚIE CALITATIVĂ</w:t>
      </w:r>
    </w:p>
    <w:p w14:paraId="1000005C"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FUNCȚIONALITĂȚII INSTALAȚIEI ELECTRICE</w:t>
      </w:r>
    </w:p>
    <w:p w14:paraId="1000005D"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5E"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5F"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60"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Verificarea lucrărilor executate și a funcționalității instalației electrice interioare, Cf. C56-02, Caiet Instalatii I-Instalatii electrice interioare;</w:t>
      </w:r>
    </w:p>
    <w:p w14:paraId="10000061"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62"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63"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64"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 cât și a planșelor {planse};</w:t>
      </w:r>
    </w:p>
    <w:p w14:paraId="10000065"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66"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Instalația electrică a fost montată conform proiectului tehnic nr. {proiect_nr}.</w:t>
      </w:r>
    </w:p>
    <w:p w14:paraId="10000067"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verificat funcționalitatea circuitelor de iluminat, prize și a tablourilor electrice, constatându-se funcționarea corectă a acestora.</w:t>
      </w:r>
    </w:p>
    <w:p w14:paraId="10000068"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constatate neconformități care să afecteze funcționarea instalației.</w:t>
      </w:r>
    </w:p>
    <w:p w14:paraId="10000069"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6A"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B"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D"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6E"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6F"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70"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71" w14:textId="77777777" w:rsidR="00AA728A" w:rsidRDefault="00AA728A">
      <w:pPr>
        <w:keepNext/>
        <w:pageBreakBefore/>
        <w:spacing w:line="259" w:lineRule="auto"/>
        <w:rPr>
          <w:rFonts w:cs="Arial"/>
          <w:b/>
          <w:lang w:val="nl-NL"/>
        </w:rPr>
      </w:pPr>
    </w:p>
    <w:p w14:paraId="10000072" w14:textId="77777777" w:rsidR="00AA728A" w:rsidRDefault="00AA728A">
      <w:pPr>
        <w:keepNext/>
        <w:keepLines/>
        <w:spacing w:line="259" w:lineRule="auto"/>
        <w:jc w:val="center"/>
        <w:rPr>
          <w:rFonts w:cs="Arial"/>
          <w:b/>
          <w:lang w:val="nl-NL"/>
        </w:rPr>
      </w:pPr>
      <w:r>
        <w:rPr>
          <w:rFonts w:cs="Arial"/>
          <w:b/>
          <w:lang w:val="nl-NL"/>
        </w:rPr>
        <w:t xml:space="preserve">PROCES VERBAL DE CONTROL AL CALITATII LUCRARILOR</w:t>
      </w:r>
    </w:p>
    <w:p w14:paraId="10000073" w14:textId="77777777" w:rsidR="00AA728A" w:rsidRDefault="00AA728A">
      <w:pPr>
        <w:keepNext/>
        <w:spacing w:after="0" w:line="259" w:lineRule="auto"/>
        <w:jc w:val="center"/>
        <w:rPr>
          <w:rFonts w:cs="Arial"/>
          <w:b/>
          <w:lang w:val="it-IT"/>
        </w:rPr>
      </w:pPr>
      <w:r>
        <w:rPr>
          <w:rFonts w:cs="Arial"/>
          <w:b/>
          <w:lang w:val="it-IT"/>
        </w:rPr>
        <w:t xml:space="preserve">IN FAZE DETERMINANTE</w:t>
      </w:r>
    </w:p>
    <w:p w14:paraId="10000074"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75" w14:textId="77777777" w:rsidR="00AA728A" w:rsidRDefault="00AA728A">
      <w:pPr>
        <w:keepNext/>
        <w:spacing w:after="0" w:line="259" w:lineRule="auto"/>
        <w:rPr>
          <w:rFonts w:cstheme="minorHAnsi"/>
          <w:sz w:val="20"/>
          <w:szCs w:val="20"/>
          <w:lang w:val="it-IT"/>
        </w:rPr>
      </w:pPr>
    </w:p>
    <w:p w14:paraId="10000076" w14:textId="77777777" w:rsidR="00AA728A" w:rsidRDefault="00AA728A">
      <w:pPr>
        <w:keepNext/>
        <w:spacing w:after="0" w:line="259" w:lineRule="auto"/>
        <w:ind w:firstLine="720"/>
        <w:rPr>
          <w:rFonts w:cstheme="minorHAnsi"/>
          <w:sz w:val="20"/>
          <w:szCs w:val="20"/>
          <w:lang w:val="it-IT"/>
        </w:rPr>
      </w:pPr>
      <w:r>
        <w:rPr>
          <w:rFonts w:cstheme="minorHAnsi"/>
          <w:sz w:val="20"/>
          <w:szCs w:val="20"/>
          <w:lang w:val="it-IT"/>
        </w:rPr>
        <w:t xml:space="preserve">Ca urmare a controlului efectuat la obiectivul:</w:t>
      </w:r>
    </w:p>
    <w:p w14:paraId="10000077"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 xml:space="preserve">{autorizatie_nr}</w:t>
      </w:r>
      <w:r>
        <w:rPr>
          <w:rFonts w:cstheme="minorHAnsi"/>
          <w:sz w:val="20"/>
          <w:szCs w:val="20"/>
          <w:lang w:val="it-IT"/>
        </w:rPr>
        <w:t xml:space="preserve"> din </w:t>
      </w:r>
      <w:r>
        <w:rPr>
          <w:rFonts w:cstheme="minorHAnsi"/>
          <w:b/>
          <w:sz w:val="20"/>
          <w:szCs w:val="20"/>
          <w:lang w:val="it-IT"/>
        </w:rPr>
        <w:t xml:space="preserve">{autorizatie_data}</w:t>
      </w:r>
      <w:r>
        <w:rPr>
          <w:rFonts w:cstheme="minorHAnsi"/>
          <w:sz w:val="20"/>
          <w:szCs w:val="20"/>
          <w:lang w:val="it-IT"/>
        </w:rPr>
        <w:t xml:space="preserve"> emisa de PRIMARIA COMUNEI {locatie} se executa in baza proiectului </w:t>
      </w:r>
      <w:r>
        <w:rPr>
          <w:rFonts w:cstheme="minorHAnsi"/>
          <w:b/>
          <w:sz w:val="20"/>
          <w:szCs w:val="20"/>
          <w:lang w:val="it-IT"/>
        </w:rPr>
        <w:t xml:space="preserve">nr.{proiect_nr}</w:t>
      </w:r>
      <w:r>
        <w:rPr>
          <w:rFonts w:cstheme="minorHAnsi"/>
          <w:sz w:val="20"/>
          <w:szCs w:val="20"/>
          <w:lang w:val="it-IT"/>
        </w:rPr>
        <w:t xml:space="preserve">, elaborat de </w:t>
      </w:r>
    </w:p>
    <w:p w14:paraId="10000078" w14:textId="77777777" w:rsidR="00AA728A" w:rsidRDefault="00AA728A">
      <w:pPr>
        <w:spacing w:after="0" w:line="259" w:lineRule="auto"/>
        <w:rPr>
          <w:rFonts w:cstheme="minorHAnsi"/>
          <w:sz w:val="20"/>
          <w:szCs w:val="20"/>
          <w:lang w:val="it-IT"/>
        </w:rPr>
      </w:pPr>
      <w:r>
        <w:rPr>
          <w:rFonts w:cstheme="minorHAnsi"/>
          <w:b/>
          <w:sz w:val="20"/>
          <w:szCs w:val="20"/>
          <w:lang w:val="it-IT"/>
        </w:rPr>
        <w:t xml:space="preserve">{proiectant_companie}</w:t>
      </w:r>
    </w:p>
    <w:p w14:paraId="10000079"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Faza determinanta: </w:t>
      </w:r>
      <w:r>
        <w:rPr>
          <w:rFonts w:cstheme="minorHAnsi"/>
          <w:b/>
          <w:sz w:val="20"/>
          <w:szCs w:val="20"/>
          <w:lang w:val="it-IT"/>
        </w:rPr>
        <w:t xml:space="preserve">Verificarea prizei de pământ și a continuității sistemului de legare la pământ a instalației electrice</w:t>
      </w:r>
      <w:r>
        <w:rPr>
          <w:rFonts w:cstheme="minorHAnsi"/>
          <w:sz w:val="20"/>
          <w:szCs w:val="20"/>
          <w:lang w:val="it-IT"/>
        </w:rPr>
        <w:t xml:space="preserve">, pe obiectivul </w:t>
      </w:r>
      <w:r>
        <w:rPr>
          <w:rFonts w:cstheme="minorHAnsi"/>
          <w:b/>
          <w:sz w:val="20"/>
          <w:szCs w:val="20"/>
          <w:lang w:val="it-IT"/>
        </w:rPr>
        <w:t xml:space="preserve">{tronson_cod}</w:t>
      </w:r>
      <w:r>
        <w:rPr>
          <w:rFonts w:cstheme="minorHAnsi"/>
          <w:sz w:val="20"/>
          <w:szCs w:val="20"/>
          <w:lang w:val="it-IT"/>
        </w:rPr>
        <w:t xml:space="preserve"> {specificatie_conducta}, Cf. C56-02, Caiet Instalatii I-Instalatii electrice interioare.</w:t>
      </w:r>
    </w:p>
    <w:p w14:paraId="1000007A"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 xml:space="preserve">SC CORNELLS’ FLOOR  SRL</w:t>
      </w:r>
      <w:r>
        <w:rPr>
          <w:rFonts w:cstheme="minorHAnsi"/>
          <w:sz w:val="20"/>
          <w:szCs w:val="20"/>
          <w:lang w:val="it-IT"/>
        </w:rPr>
        <w:t xml:space="preserve">  </w:t>
      </w:r>
    </w:p>
    <w:p w14:paraId="1000007B"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p>
    <w:p w14:paraId="1000007C"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1000007D"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000007E"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000007F"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10000080" w14:textId="77777777" w:rsidR="00AA728A" w:rsidRDefault="00AA728A">
      <w:pPr>
        <w:spacing w:after="0" w:line="240" w:lineRule="auto"/>
        <w:rPr>
          <w:rFonts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10000081"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Mentiuni speciale:</w:t>
      </w:r>
    </w:p>
    <w:p w14:paraId="10000082"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10000083" w14:textId="77777777" w:rsidR="00AA728A" w:rsidRDefault="00AA728A">
      <w:pPr>
        <w:numPr>
          <w:ilvl w:val="0"/>
          <w:numId w:val="4"/>
        </w:numPr>
        <w:spacing w:after="0" w:line="276" w:lineRule="auto"/>
        <w:rPr>
          <w:rFonts w:cstheme="minorHAnsi"/>
          <w:sz w:val="20"/>
          <w:szCs w:val="20"/>
          <w:lang w:val="it-IT"/>
        </w:rPr>
      </w:pPr>
      <w:r>
        <w:rPr>
          <w:rFonts w:cstheme="minorHAnsi"/>
          <w:sz w:val="20"/>
          <w:szCs w:val="20"/>
          <w:lang w:val="it-IT"/>
        </w:rPr>
        <w:t xml:space="preserve">procese verbale lucrari ascunse;</w:t>
      </w:r>
    </w:p>
    <w:p w14:paraId="10000084" w14:textId="77777777" w:rsidR="00AA728A" w:rsidRDefault="00AA728A">
      <w:pPr>
        <w:numPr>
          <w:ilvl w:val="0"/>
          <w:numId w:val="4"/>
        </w:numPr>
        <w:spacing w:after="0" w:line="276" w:lineRule="auto"/>
        <w:rPr>
          <w:rFonts w:cstheme="minorHAnsi"/>
          <w:sz w:val="20"/>
          <w:szCs w:val="20"/>
          <w:lang w:val="it-IT"/>
        </w:rPr>
      </w:pPr>
      <w:r>
        <w:rPr>
          <w:rFonts w:cstheme="minorHAnsi"/>
          <w:sz w:val="20"/>
          <w:szCs w:val="20"/>
          <w:lang w:val="it-IT"/>
        </w:rPr>
        <w:t xml:space="preserve">documente de provenienta si calitate a materialelor puse in opera</w:t>
      </w:r>
    </w:p>
    <w:p w14:paraId="10000085"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In baza celor de mai sus,</w:t>
      </w:r>
    </w:p>
    <w:p w14:paraId="10000086" w14:textId="77777777" w:rsidR="00AA728A" w:rsidRDefault="00AA728A">
      <w:pPr>
        <w:spacing w:after="0" w:line="240" w:lineRule="auto"/>
        <w:rPr>
          <w:rFonts w:cstheme="minorHAnsi"/>
          <w:sz w:val="20"/>
          <w:szCs w:val="20"/>
          <w:lang w:val="it-IT"/>
        </w:rPr>
      </w:pPr>
    </w:p>
    <w:p w14:paraId="10000087" w14:textId="77777777" w:rsidR="00AA728A" w:rsidRDefault="00AA728A">
      <w:pPr>
        <w:keepNext/>
        <w:spacing w:after="0" w:line="240" w:lineRule="auto"/>
        <w:jc w:val="center"/>
        <w:rPr>
          <w:rFonts w:cstheme="minorHAnsi"/>
          <w:b/>
          <w:sz w:val="20"/>
          <w:szCs w:val="20"/>
          <w:lang w:val="it-IT"/>
        </w:rPr>
      </w:pPr>
      <w:r>
        <w:rPr>
          <w:rFonts w:cstheme="minorHAnsi"/>
          <w:b/>
          <w:sz w:val="20"/>
          <w:szCs w:val="20"/>
          <w:lang w:val="it-IT"/>
        </w:rPr>
        <w:t xml:space="preserve">SE AUTORIZEAZA CONTINUAREA EXECUTARII LUCRARILOR</w:t>
      </w:r>
    </w:p>
    <w:p w14:paraId="10000088"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Prezentul proces verbal a fost intocmit in 3 exemplare, cate unul pentru fiecare parte.</w:t>
      </w:r>
    </w:p>
    <w:p w14:paraId="10000089" w14:textId="77777777" w:rsidR="00AA728A" w:rsidRDefault="00AA728A">
      <w:pPr>
        <w:spacing w:after="0" w:line="240" w:lineRule="auto"/>
        <w:ind w:left="-426" w:firstLine="720"/>
        <w:rPr>
          <w:rFonts w:cstheme="minorHAnsi"/>
          <w:sz w:val="20"/>
          <w:szCs w:val="20"/>
          <w:lang w:val="it-IT"/>
        </w:rPr>
      </w:pPr>
    </w:p>
    <w:p w14:paraId="1000008A" w14:textId="77777777" w:rsidR="00AA728A" w:rsidRDefault="00AA728A">
      <w:pPr>
        <w:keepNext/>
        <w:tabs>
          <w:tab w:val="left" w:pos="50"/>
          <w:tab w:val="left" w:pos="2600"/>
          <w:tab w:val="left" w:pos="520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r>
    </w:p>
    <w:p w14:paraId="1000008B" w14:textId="77777777" w:rsidR="00AA728A" w:rsidRDefault="00AA728A">
      <w:pPr>
        <w:tabs>
          <w:tab w:val="left" w:pos="50"/>
          <w:tab w:val="left" w:pos="2600"/>
          <w:tab w:val="left" w:pos="520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r>
    </w:p>
    <w:p w14:paraId="1000008C"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RECEPȚIE</w:t>
      </w:r>
    </w:p>
    <w:p w14:paraId="1000008D"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LA PUNEREA ÎN FUNCȚIUNE A INSTALAȚIEI ELECTRICE</w:t>
      </w:r>
    </w:p>
    <w:p w14:paraId="1000008E"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8F"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90"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91"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Recepția instalației electrice interioare la punerea în funcțiune, Cf. C56-02, Caiet Instalatii I-Instalatii electrice interioare.</w:t>
      </w:r>
    </w:p>
    <w:p w14:paraId="10000092"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93"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94"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95"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 și a planșelor {planse};</w:t>
      </w:r>
    </w:p>
    <w:p w14:paraId="10000096"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97"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La terminarea lucrărilor instalația electrică interioară este funcțională.</w:t>
      </w:r>
    </w:p>
    <w:p w14:paraId="10000098"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Lucrările s-au realizat conform proiectului tehnic de execuție și cerințelor caietului de sarcini C56-02.</w:t>
      </w:r>
    </w:p>
    <w:p w14:paraId="10000099"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Lucrarea poate fi propusă pentru recepția la punerea în funcțiune.</w:t>
      </w:r>
    </w:p>
    <w:p w14:paraId="1000009A"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9B"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9D"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9E"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9F"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A0"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A1"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Proiectant.:              Ing. {proiectant_reprezentant}</w:t>
        <w:tab/>
        <w:t>……………..</w:t>
      </w:r>
    </w:p>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