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NOTE FOR SILVIA — RULE SET SYNC v4.5 → v4.6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EHC Checker API build — synchronisation instructions</w:t>
      </w:r>
    </w:p>
    <w:p>
      <w:pPr>
        <w:spacing w:after="80"/>
      </w:pPr>
      <w:r>
        <w:rPr>
          <w:b/>
          <w:bCs/>
        </w:rPr>
        <w:t xml:space="preserve">Scope</w:t>
      </w:r>
    </w:p>
    <w:p>
      <w:pPr>
        <w:spacing w:after="120"/>
      </w:pPr>
      <w:r>
        <w:t xml:space="preserve">Your API build is currently on v4.5. This note covers the delta to bring it to v4.6 only — nine discrete changes, all library additions/amendments plus two calibration-note edits. No structural, behavioural, or report-format changes in this release — SKILL.md-side logic (§4.3 recommendations filter etc.) is unaffected since your build has no SKILL.md equivalent to update.</w:t>
      </w:r>
    </w:p>
    <w:p>
      <w:pPr>
        <w:spacing w:after="80"/>
      </w:pPr>
      <w:r>
        <w:rPr>
          <w:b/>
          <w:bCs/>
        </w:rPr>
        <w:t xml:space="preserve">Priority</w:t>
      </w:r>
    </w:p>
    <w:p>
      <w:pPr>
        <w:spacing w:after="120"/>
      </w:pPr>
      <w:r>
        <w:t xml:space="preserve">Routine sync — nothing in v4.6 is blocking or urgent in the way C4 was in v4.5. No live HOLD/PASS verdicts depend on these changes yet, but please confirm sync completion so both builds stay aligned before the next live check on any of the affected lanes (County Milk/Leprino NI, Novades, AFI/DSV, Saputo Davidstow cheese).</w:t>
      </w:r>
    </w:p>
    <w:p>
      <w:pPr>
        <w:pStyle w:val="Heading1"/>
        <w:spacing w:after="150" w:before="300"/>
      </w:pPr>
      <w:r>
        <w:t xml:space="preserve">Library Additions</w:t>
      </w:r>
    </w:p>
    <w:p>
      <w:pPr>
        <w:pStyle w:val="Heading2"/>
        <w:spacing w:after="100" w:before="200"/>
      </w:pPr>
      <w:r>
        <w:t xml:space="preserve">H1 — Establishment Lookup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Gregory Distribution, 280 Ernesettle Lane, Plymouth, Devon, PL5 2SA, United Kingdom — Approval N/A. Rare alternate I.13 depot (~every 6 months) for Saputo Davidstow (GB CQ 501) cheese exports.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Gregory Distribution Ltd, Saunders Way, Cullompton, EX15 1BS — Approval N/A. Confirmed occasional alternate I.13 depot, Saputo Davidstow cheese lane (Ingredient Solutions Ltd / Rosslare route) specifically — not used on the SWP/whey powder (Novades) lane.</w:t>
      </w:r>
    </w:p>
    <w:p>
      <w:pPr>
        <w:pStyle w:val="Heading2"/>
        <w:spacing w:after="100" w:before="200"/>
      </w:pPr>
      <w:r>
        <w:t xml:space="preserve">H1 amendment — County Milk Products Ltd</w:t>
      </w:r>
    </w:p>
    <w:p>
      <w:pPr>
        <w:spacing w:after="120"/>
      </w:pPr>
      <w:r>
        <w:t xml:space="preserve">Existing entry (I.1 consignor only) gets an added note: County Milk may also appear as I.5 consignee (self-account transfer to NI storage, I.1=I.5) on the County Milk → Leprino Foods NI lane, Belfast XIBEL1-DAERA. Confirmed repeat pattern (26/2/186272, 26/2/201696). Standing pass — do not flag.</w:t>
      </w:r>
    </w:p>
    <w:p>
      <w:pPr>
        <w:pStyle w:val="Heading2"/>
        <w:spacing w:after="100" w:before="200"/>
      </w:pPr>
      <w:r>
        <w:t xml:space="preserve">H2 — Consignees/Consignors/Logistics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Ingredient Solutions Ltd — Boherbue, Mallow, Co Cork, P51 FF99, Ireland. I.5=I.6 same entity. Confirmed Saputo Davidstow (GB CQ 501) cheese consignee, Rosslare IE ROS 1 lane.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Allied Fleet Services — 2 Edenaveys Industrial Estate, Armagh, BT60 1NF (ISO XI). Approval N/A. Confirmed I.6 operator, County Milk → Leprino Foods NI lane, Belfast XIBEL1-DAERA.</w:t>
      </w:r>
    </w:p>
    <w:p>
      <w:pPr>
        <w:pStyle w:val="Heading2"/>
        <w:spacing w:after="100" w:before="200"/>
      </w:pPr>
      <w:r>
        <w:t xml:space="preserve">H2 amendment — Novades BV</w:t>
      </w:r>
    </w:p>
    <w:p>
      <w:pPr>
        <w:spacing w:after="120"/>
      </w:pPr>
      <w:r>
        <w:t xml:space="preserve">Existing entry gets an added route: second confirmed route Felixstowe → Rotterdam (NL-RTM1) via DFDS, destination Jonker &amp; Schut Barneveld (207165) — confirmed 26/2/196714, 26/2/203115. Both this and the existing Purfleet/Zeebrugge (Van Bentum) route are standing pass — do not flag route choice.</w:t>
      </w:r>
    </w:p>
    <w:p>
      <w:pPr>
        <w:pStyle w:val="Heading2"/>
        <w:spacing w:after="100" w:before="200"/>
      </w:pPr>
      <w:r>
        <w:t xml:space="preserve">H2 — new subsection: Saputo Davidstow (GB CQ 501) Cheese Lane</w:t>
      </w:r>
    </w:p>
    <w:p>
      <w:pPr>
        <w:spacing w:after="120"/>
      </w:pPr>
      <w:r>
        <w:t xml:space="preserve">New standing note distinguishing cheese consignments (Ingredient Solutions Ltd / Rosslare and Buiteman B.V. / Rotterdam) from the SWP/whey powder (Novades) lane. Confirms all three I.13 depots (North Tawton, Cullompton, Ernesettle Lane) as standing for the cheese lane specifically. Please add this as a standing reference note if your build supports free-text library notes, or fold the depot list into your I.13 validation logic directly.</w:t>
      </w:r>
    </w:p>
    <w:p>
      <w:pPr>
        <w:pStyle w:val="Heading2"/>
        <w:spacing w:after="100" w:before="200"/>
      </w:pPr>
      <w:r>
        <w:t xml:space="preserve">H3 — I.12 Destination Library (8468)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Leprino Foods Limited Storage Account — Approval N/A (8468-general). C/O Kilmore Stores, 21 Kilmacanty Road, Kilmore, BT61 8NH, Northern Ireland. County Milk lane, Belfast XIBEL1-DAERA.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Lactoprot Deutschland GmbH — Approval DE SH 005. Feldstrasse 5, 24568 Kaltenkirchen, Germany. Novades BV consignee, Saputo Davidstow SWP → Zeebrugge BE-BEZEE1 lane.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DSV Transport P.I. — Approval N/A. Moli de la Bastida 1-33, 08191 Rubi, Barcelona, Spain. Confirmed alternate I.12 destination on the AFI Taw Valley → Calais FRCQF1 lane, alongside Ferrer Alimentacion S.A. Either destination is standing pass.</w:t>
      </w:r>
    </w:p>
    <w:p>
      <w:pPr>
        <w:pStyle w:val="Heading1"/>
        <w:spacing w:after="150" w:before="300"/>
      </w:pPr>
      <w:r>
        <w:t xml:space="preserve">Calibration Note Changes</w:t>
      </w:r>
    </w:p>
    <w:p>
      <w:pPr>
        <w:pStyle w:val="Heading2"/>
        <w:spacing w:after="100" w:before="200"/>
      </w:pPr>
      <w:r>
        <w:t xml:space="preserve">E12 — amendment</w:t>
      </w:r>
    </w:p>
    <w:p>
      <w:pPr>
        <w:spacing w:after="120"/>
      </w:pPr>
      <w:r>
        <w:t xml:space="preserve">Add to existing E12 (vessel/ro-ro I.15 Identification = N/A note): “N/A UNWITNESSED” in both I.15 Identification and I.19 Container No is acceptable on unaccompanied groupage/pallet loads via ferry (e.g. Rosslare IE ROS 1) provided the seal number itself is populated in I.19 — the seal number, not vehicle identification, is the controlling requirement. Do not flag absence of trailer/vehicle registration on this pattern.</w:t>
      </w:r>
    </w:p>
    <w:p>
      <w:pPr>
        <w:pStyle w:val="Heading2"/>
        <w:spacing w:after="100" w:before="200"/>
      </w:pPr>
      <w:r>
        <w:t xml:space="preserve">E72 — new</w:t>
      </w:r>
    </w:p>
    <w:p>
      <w:pPr>
        <w:spacing w:after="120"/>
      </w:pPr>
      <w:r>
        <w:t xml:space="preserve">BELFAST/COUNTY MILK NI FERRY LANE — I.15 VESSEL TICK. On the County Milk → Leprino Foods lane (Belfast XIBEL1-DAERA, unaccompanied ferry), I.15 should show Vessel + Road vehicle both ticked. Vessel not ticked despite an unaccompanied/vessel-named identification (e.g. “UNACCOMPANIED / STENA CONNECTA”) — medium warning (AMBER). Vessel name in Identification alongside “UNACCOMPANIED” is correct and expected — do not flag the vessel reference itself.</w:t>
      </w:r>
    </w:p>
    <w:p>
      <w:pPr>
        <w:spacing w:after="120"/>
      </w:pPr>
      <w:r>
        <w:t xml:space="preserve">Note the severity: AMBER, not RED — this was a deliberate choice this session (kept lighter-touch while the wider NI/DAERA I.15 pattern is still being confirmed across other lanes). Please implement as AMBER, not RED, even though it parallels the RED severity used on the Immingham-Esbjerg vessel-tick rule (E43) — the two are intentionally different at this stage.</w:t>
      </w:r>
    </w:p>
    <w:p>
      <w:pPr>
        <w:pStyle w:val="Heading1"/>
        <w:spacing w:after="150" w:before="300"/>
      </w:pPr>
      <w:r>
        <w:t xml:space="preserve">Version Reference</w:t>
      </w:r>
    </w:p>
    <w:p>
      <w:pPr>
        <w:spacing w:after="120"/>
      </w:pPr>
      <w:r>
        <w:t xml:space="preserve">Please update your build's version tag to 4.6 once the above is applied, and confirm back so the master Rule Set record can note the sync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2026-07-31T13:37:22.648Z</dcterms:created>
  <dcterms:modified xsi:type="dcterms:W3CDTF">2026-07-31T13:37:22.665Z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