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2"/>
          <w:szCs w:val="32"/>
        </w:rPr>
        <w:t xml:space="preserve">NOTES FOR SILVIA — v4.6 TO v4.7 API SYNC</w:t>
      </w:r>
    </w:p>
    <w:p>
      <w:pPr>
        <w:spacing w:after="40"/>
      </w:pPr>
      <w:r>
        <w:rPr>
          <w:i/>
          <w:iCs/>
          <w:sz w:val="22"/>
          <w:szCs w:val="22"/>
        </w:rPr>
        <w:t xml:space="preserve">EHC Checker — Rule Set Delta Summary</w:t>
      </w:r>
    </w:p>
    <w:p>
      <w:pPr>
        <w:spacing w:after="300"/>
      </w:pPr>
      <w:r>
        <w:rPr>
          <w:sz w:val="20"/>
          <w:szCs w:val="20"/>
        </w:rPr>
        <w:t xml:space="preserve">From: R Cunningham · To: S Soescu MRCVS (SP 632477) · Master version: v4.7 (August 2026), base v4.6</w:t>
      </w:r>
    </w:p>
    <w:p>
      <w:pPr>
        <w:pBdr>
          <w:bottom w:val="single" w:color="AAAAAA" w:sz="6" w:space="4"/>
        </w:pBdr>
        <w:spacing w:after="200"/>
      </w:pPr>
    </w:p>
    <w:p>
      <w:pPr>
        <w:spacing w:after="120"/>
      </w:pPr>
      <w:r>
        <w:rPr>
          <w:b w:val="false"/>
          <w:bCs w:val="false"/>
          <w:i/>
          <w:iCs/>
        </w:rPr>
        <w:t xml:space="preserve">This covers every change between v4.6 and v4.7, superseding any earlier verbal or draft version of this note you may have seen. Several items originated from your own observations and proposals (3 August) — thank you, they're adopted largely as you drafted them.</w:t>
      </w:r>
    </w:p>
    <w:p>
      <w:pPr>
        <w:spacing w:after="120"/>
      </w:pPr>
      <w:r>
        <w:rPr>
          <w:b/>
          <w:bCs/>
          <w:i w:val="false"/>
          <w:iCs w:val="false"/>
        </w:rPr>
        <w:t xml:space="preserve">Correction to a point in an earlier draft: item 3 below (AFI bulk tanker to Denmark, M119) is 8468 human consumption ONLY — it is never 8322 Cat 3 on bulk tanker. An earlier version of this note suggested a Cat 3 variant of this lane existed; that was incorrect and has been withdrawn. If you built anything against that earlier framing, please see items 3 and 4 below for the corrected position.</w:t>
      </w:r>
    </w:p>
    <w:p>
      <w:pPr>
        <w:pBdr>
          <w:bottom w:val="single" w:color="AAAAAA" w:sz="6" w:space="4"/>
        </w:pBdr>
        <w:spacing w:after="200"/>
      </w:pPr>
    </w:p>
    <w:p>
      <w:pPr>
        <w:pStyle w:val="Heading1"/>
        <w:spacing w:after="120" w:before="300"/>
      </w:pPr>
      <w:r>
        <w:t xml:space="preserve">1. New library entry — Gregory Distribution Ltd, North Tawton (AFI powder loads)</w:t>
      </w:r>
    </w:p>
    <w:p>
      <w:pPr>
        <w:spacing w:after="120"/>
      </w:pPr>
      <w:r>
        <w:rPr>
          <w:b w:val="false"/>
          <w:bCs w:val="false"/>
          <w:i w:val="false"/>
          <w:iCs w:val="false"/>
        </w:rPr>
        <w:t xml:space="preserve">Location: H1.</w:t>
      </w:r>
    </w:p>
    <w:p>
      <w:pPr>
        <w:pBdr>
          <w:left w:val="single" w:color="999999" w:sz="12" w:space="8"/>
        </w:pBdr>
        <w:shd w:fill="F2F2F2" w:val="clear"/>
        <w:spacing w:after="160"/>
        <w:ind w:left="200"/>
      </w:pPr>
      <w:r>
        <w:t xml:space="preserve">Gregory Distribution Ltd, North Tawton, Devon, EX20 2EB — Approval No: N/A. Standard I.11 for AFI Taw Valley powder loads (bagged/palletised, I.27 Type of packaging ≠ BULK TANKER) — loading/logistics only.</w:t>
      </w:r>
    </w:p>
    <w:p>
      <w:pPr>
        <w:spacing w:after="120"/>
      </w:pPr>
      <w:r>
        <w:rPr>
          <w:b w:val="false"/>
          <w:bCs w:val="false"/>
          <w:i w:val="false"/>
          <w:iCs w:val="false"/>
        </w:rPr>
        <w:t xml:space="preserve">Distinct from two existing entries: AFI bulk tanker loads (I.11 = Taw Valley Creamery, GB DE 030 — see item 5), and the Cat 3 transport/logistics approval (U1183488/TRANS), which applies only to Saputo/Davidstow Cat 3 loads on 8322 certificates.</w:t>
      </w:r>
    </w:p>
    <w:p>
      <w:pPr>
        <w:spacing w:after="120"/>
      </w:pPr>
      <w:r>
        <w:rPr>
          <w:b w:val="false"/>
          <w:bCs w:val="false"/>
          <w:i w:val="false"/>
          <w:iCs w:val="false"/>
        </w:rPr>
        <w:t xml:space="preserve">API action: add this establishment/approval pairing for I.11 on AFI powder (non-tanker) loads. Do not key it to trailer type ("curtainsider") — key it to I.27 Type of packaging ≠ BULK TANKER. See item 2.</w:t>
      </w:r>
    </w:p>
    <w:p>
      <w:pPr>
        <w:pBdr>
          <w:bottom w:val="single" w:color="AAAAAA" w:sz="6" w:space="4"/>
        </w:pBdr>
        <w:spacing w:after="200"/>
      </w:pPr>
    </w:p>
    <w:p>
      <w:pPr>
        <w:pStyle w:val="Heading1"/>
        <w:spacing w:after="120" w:before="300"/>
      </w:pPr>
      <w:r>
        <w:t xml:space="preserve">2. E62 — "curtainsider" removed</w:t>
      </w:r>
    </w:p>
    <w:p>
      <w:pPr>
        <w:spacing w:after="120"/>
      </w:pPr>
      <w:r>
        <w:rPr>
          <w:b w:val="false"/>
          <w:bCs w:val="false"/>
          <w:i w:val="false"/>
          <w:iCs w:val="false"/>
        </w:rPr>
        <w:t xml:space="preserve">Location: E62. This was your original wording from the live-check period; correcting it now because AFI powder loads are not limited to curtainsider trailers — the rule should key on load/packaging type, not vehicle type.</w:t>
      </w:r>
    </w:p>
    <w:p>
      <w:pPr>
        <w:spacing w:after="40" w:before="100"/>
      </w:pPr>
      <w:r>
        <w:rPr>
          <w:b/>
          <w:bCs/>
        </w:rPr>
        <w:t xml:space="preserve">Was:</w:t>
      </w:r>
    </w:p>
    <w:p>
      <w:pPr>
        <w:pBdr>
          <w:left w:val="single" w:color="999999" w:sz="12" w:space="8"/>
        </w:pBdr>
        <w:shd w:fill="F2F2F2" w:val="clear"/>
        <w:spacing w:after="160"/>
        <w:ind w:left="200"/>
      </w:pPr>
      <w:r>
        <w:t xml:space="preserve">"...AFI Taw Valley powder/curtainsider EHCs..." / "...Does NOT apply to AFI bulk tanker LPC loads..."</w:t>
      </w:r>
    </w:p>
    <w:p>
      <w:pPr>
        <w:spacing w:after="40" w:before="100"/>
      </w:pPr>
      <w:r>
        <w:rPr>
          <w:b/>
          <w:bCs/>
        </w:rPr>
        <w:t xml:space="preserve">Now:</w:t>
      </w:r>
    </w:p>
    <w:p>
      <w:pPr>
        <w:pBdr>
          <w:left w:val="single" w:color="999999" w:sz="12" w:space="8"/>
        </w:pBdr>
        <w:shd w:fill="D9D9D9" w:val="clear"/>
        <w:spacing w:after="160"/>
        <w:ind w:left="200"/>
      </w:pPr>
      <w:r>
        <w:t xml:space="preserve">"...AFI Taw Valley powder EHCs (I.27 Type of packaging ≠ BULK TANKER)..." / "...Does NOT apply to AFI bulk tanker loads — on those, the WPC/LPC product batch reference is used..."</w:t>
      </w:r>
    </w:p>
    <w:p>
      <w:pPr>
        <w:spacing w:after="120"/>
      </w:pPr>
      <w:r>
        <w:rPr>
          <w:b w:val="false"/>
          <w:bCs w:val="false"/>
          <w:i w:val="false"/>
          <w:iCs w:val="false"/>
        </w:rPr>
        <w:t xml:space="preserve">API action: if your build has any trailer-type/curtainsider check feeding this rule, replace it with the I.27 packaging-type test.</w:t>
      </w:r>
    </w:p>
    <w:p>
      <w:pPr>
        <w:pBdr>
          <w:bottom w:val="single" w:color="AAAAAA" w:sz="6" w:space="4"/>
        </w:pBdr>
        <w:spacing w:after="200"/>
      </w:pPr>
    </w:p>
    <w:p>
      <w:pPr>
        <w:pStyle w:val="Heading1"/>
        <w:spacing w:after="120" w:before="300"/>
      </w:pPr>
      <w:r>
        <w:t xml:space="preserve">3. AFI bulk tanker to Denmark — 8468 only, LPC/WPC made commodity-agnostic</w:t>
      </w:r>
    </w:p>
    <w:p>
      <w:pPr>
        <w:spacing w:after="120"/>
      </w:pPr>
      <w:r>
        <w:rPr>
          <w:b w:val="false"/>
          <w:bCs w:val="false"/>
          <w:i w:val="false"/>
          <w:iCs w:val="false"/>
        </w:rPr>
        <w:t xml:space="preserve">Location: B1 I.12 sub-table, E64, H3 (M119 entry). Correction to an earlier draft of this sync: this lane is 8468 human consumption ONLY — it is never 8322 Cat 3 on bulk tanker. If you have implemented or were planning a Cat 3 branch for this destination based on an earlier version of this note, please remove it — that was based on a misreading of your original 3 August observation.</w:t>
      </w:r>
    </w:p>
    <w:p>
      <w:pPr>
        <w:spacing w:after="120"/>
      </w:pPr>
      <w:r>
        <w:rPr>
          <w:b w:val="false"/>
          <w:bCs w:val="false"/>
          <w:i w:val="false"/>
          <w:iCs w:val="false"/>
        </w:rPr>
        <w:t xml:space="preserve">Your original point stands and is adopted: "LPC" and "WPC" are interchangeable product-description terms for this lane (cf. E18's DAIRY WHEY POWDER/WHEY PERMEATE POWDER pattern) — not a certificate-type distinction. Corrected rule:</w:t>
      </w:r>
    </w:p>
    <w:p>
      <w:pPr>
        <w:pBdr>
          <w:left w:val="single" w:color="999999" w:sz="12" w:space="8"/>
        </w:pBdr>
        <w:shd w:fill="D9D9D9" w:val="clear"/>
        <w:spacing w:after="160"/>
        <w:ind w:left="200"/>
      </w:pPr>
      <w:r>
        <w:t xml:space="preserve">8468 — AFI bulk tanker to Denmark (Danmark Protein, M119). This lane is 8468 human consumption only — never 8322 Cat 3 on bulk tanker. Product description may appear as WPC or LPC on the EHC; both are accepted, not a scope restriction. Destination approval number required at I.12 — HARD error if absent.</w:t>
      </w:r>
    </w:p>
    <w:p>
      <w:pPr>
        <w:spacing w:after="120"/>
      </w:pPr>
      <w:r>
        <w:rPr>
          <w:b w:val="false"/>
          <w:bCs w:val="false"/>
          <w:i w:val="false"/>
          <w:iCs w:val="false"/>
        </w:rPr>
        <w:t xml:space="preserve">API action: (a) remove any commodity gate that reads "LPC" as indicating an 8322 Cat 3 certificate on this lane — LPC and WPC are both valid 8468 product descriptions here; (b) if a Cat 3 branch was added for this destination based on the earlier draft of this note, remove it — confirm your build treats this destination as 8468-only.</w:t>
      </w:r>
    </w:p>
    <w:p>
      <w:pPr>
        <w:pBdr>
          <w:bottom w:val="single" w:color="AAAAAA" w:sz="6" w:space="4"/>
        </w:pBdr>
        <w:spacing w:after="200"/>
      </w:pPr>
    </w:p>
    <w:p>
      <w:pPr>
        <w:pStyle w:val="Heading1"/>
        <w:spacing w:after="120" w:before="300"/>
      </w:pPr>
      <w:r>
        <w:t xml:space="preserve">4. C5 — no change (reverted); H3 M119 — Cat 3 caution added</w:t>
      </w:r>
    </w:p>
    <w:p>
      <w:pPr>
        <w:spacing w:after="120"/>
      </w:pPr>
      <w:r>
        <w:rPr>
          <w:b w:val="false"/>
          <w:bCs w:val="false"/>
          <w:i w:val="false"/>
          <w:iCs w:val="false"/>
        </w:rPr>
        <w:t xml:space="preserve">An earlier draft of this sync proposed raising the 8322 Cat 3 destination-approval severity to HARD for an "M119 exception." That has been reverted — C5 is unchanged from v4.6, since M119 is confirmed as an 8468-only reference for this establishment and there is no 8322 Cat 3 variant of the bulk tanker lane.</w:t>
      </w:r>
    </w:p>
    <w:p>
      <w:pPr>
        <w:spacing w:after="120"/>
      </w:pPr>
      <w:r>
        <w:rPr>
          <w:b w:val="false"/>
          <w:bCs w:val="false"/>
          <w:i w:val="false"/>
          <w:iCs w:val="false"/>
        </w:rPr>
        <w:t xml:space="preserve">However: the same physical establishment (Videbaek) could rarely receive Cat 3 product by other means (e.g. occasional powder — never bulk tanker). If that occurs, M119 should NOT be assumed to be the correct Cat 3 approval reference — the site may hold a separate approval number for its Cat 3-approved capacity. H3's M119 entry now carries this caution:</w:t>
      </w:r>
    </w:p>
    <w:p>
      <w:pPr>
        <w:pBdr>
          <w:left w:val="single" w:color="999999" w:sz="12" w:space="8"/>
        </w:pBdr>
        <w:shd w:fill="D9D9D9" w:val="clear"/>
        <w:spacing w:after="160"/>
        <w:ind w:left="200"/>
      </w:pPr>
      <w:r>
        <w:t xml:space="preserve">M119 confirmed only for 8468 bulk tanker loads. If Cat 3 product is ever consigned to this establishment (rare, e.g. occasional powder, never bulk tanker), do not assume M119 applies — the Cat 3-approved reference may differ and must be confirmed with AFI before use.</w:t>
      </w:r>
    </w:p>
    <w:p>
      <w:pPr>
        <w:spacing w:after="120"/>
      </w:pPr>
      <w:r>
        <w:rPr>
          <w:b w:val="false"/>
          <w:bCs w:val="false"/>
          <w:i w:val="false"/>
          <w:iCs w:val="false"/>
        </w:rPr>
        <w:t xml:space="preserve">API action: do not add an 8322 branch for M119/Videbaek. If your checker ever sees an 8322 certificate destined for this establishment, it should raise this as a query for OV confirmation rather than validating or auto-populating M119.</w:t>
      </w:r>
    </w:p>
    <w:p>
      <w:pPr>
        <w:pBdr>
          <w:bottom w:val="single" w:color="AAAAAA" w:sz="6" w:space="4"/>
        </w:pBdr>
        <w:spacing w:after="200"/>
      </w:pPr>
    </w:p>
    <w:p>
      <w:pPr>
        <w:pStyle w:val="Heading1"/>
        <w:spacing w:after="120" w:before="300"/>
      </w:pPr>
      <w:r>
        <w:t xml:space="preserve">5. New rule E73 — AFI bulk tanker lane, I.11 GB DE 030 blank = HARD error</w:t>
      </w:r>
    </w:p>
    <w:p>
      <w:pPr>
        <w:spacing w:after="120"/>
      </w:pPr>
      <w:r>
        <w:rPr>
          <w:b w:val="false"/>
          <w:bCs w:val="false"/>
          <w:i w:val="false"/>
          <w:iCs w:val="false"/>
        </w:rPr>
        <w:t xml:space="preserve">Adopted from your ruling on cert 26/2/203141 — reversing the automated report's suggestion to calibrate the blank as standard practice.</w:t>
      </w:r>
    </w:p>
    <w:p>
      <w:pPr>
        <w:pBdr>
          <w:left w:val="single" w:color="999999" w:sz="12" w:space="8"/>
        </w:pBdr>
        <w:shd w:fill="D9D9D9" w:val="clear"/>
        <w:spacing w:after="160"/>
        <w:ind w:left="200"/>
      </w:pPr>
      <w:r>
        <w:t xml:space="preserve">E73  AFI Bulk Tanker Lane: I.11 Registration/Approval No (GB DE 030)  On AFI Taw Valley bulk tanker loads (I.27 Type of packaging = BULK TANKER), GB DE 030 must appear at I.11 — HARD error if blank, even where GB DE 030 correctly appears at I.27 Manufacturing plant. A blank I.11 approval number on this lane is a completion error, not a convention.</w:t>
      </w:r>
    </w:p>
    <w:p>
      <w:pPr>
        <w:spacing w:after="120"/>
      </w:pPr>
      <w:r>
        <w:rPr>
          <w:b w:val="false"/>
          <w:bCs w:val="false"/>
          <w:i w:val="false"/>
          <w:iCs w:val="false"/>
        </w:rPr>
        <w:t xml:space="preserve">The cross-reference to E73 has also now been added to the main B1 I.11 field-rules row, so the rule is visible from B1 directly and not only from H1/E73.</w:t>
      </w:r>
    </w:p>
    <w:p>
      <w:pPr>
        <w:spacing w:after="120"/>
      </w:pPr>
      <w:r>
        <w:rPr>
          <w:b w:val="false"/>
          <w:bCs w:val="false"/>
          <w:i w:val="false"/>
          <w:iCs w:val="false"/>
        </w:rPr>
        <w:t xml:space="preserve">API action: add this rule if not already implemented. No outstanding master-document dependency — fully finalised on both sides.</w:t>
      </w:r>
    </w:p>
    <w:p>
      <w:pPr>
        <w:pBdr>
          <w:bottom w:val="single" w:color="AAAAAA" w:sz="6" w:space="4"/>
        </w:pBdr>
        <w:spacing w:after="200"/>
      </w:pPr>
    </w:p>
    <w:p>
      <w:pPr>
        <w:pStyle w:val="Heading1"/>
        <w:spacing w:after="120" w:before="300"/>
      </w:pPr>
      <w:r>
        <w:t xml:space="preserve">6. D5 corrected — two rows removed (8468 template fields)</w:t>
      </w:r>
    </w:p>
    <w:p>
      <w:pPr>
        <w:spacing w:after="120"/>
      </w:pPr>
      <w:r>
        <w:rPr>
          <w:b w:val="false"/>
          <w:bCs w:val="false"/>
          <w:i w:val="false"/>
          <w:iCs w:val="false"/>
        </w:rPr>
        <w:t xml:space="preserve">Location: D5. Confirmed by direct inspection of certs 26/2/217464 and 26/2/219286 — the 8468 template has no separate "Country of origin" blank in II.1, and no II.4/II.5 clauses exist anywhere on the template. This traces back to your Page Structure query.</w:t>
      </w:r>
    </w:p>
    <w:p>
      <w:pPr>
        <w:spacing w:after="120"/>
      </w:pPr>
      <w:r>
        <w:rPr>
          <w:b w:val="false"/>
          <w:bCs w:val="false"/>
          <w:i w:val="false"/>
          <w:iCs w:val="false"/>
        </w:rPr>
        <w:t xml:space="preserve">Removed rows: "II.1 Country of origin" and "II.4 / II.5 date slots". The complete and correct set of fillable zone-code fields on 8468 requiring adjacent stamp is now just: II.2.1 (Annex XVII), II.2.1 (Annex XXII, transit only), II.2.2 (raw milk/Bos taurus).</w:t>
      </w:r>
    </w:p>
    <w:p>
      <w:pPr>
        <w:spacing w:after="120"/>
      </w:pPr>
      <w:r>
        <w:rPr>
          <w:b w:val="false"/>
          <w:bCs w:val="false"/>
          <w:i w:val="false"/>
          <w:iCs w:val="false"/>
        </w:rPr>
        <w:t xml:space="preserve">API action: if your build's D5-equivalent checklist includes a II.1 country-of-origin blank check or a II.4/II.5 date-slot check for 8468, remove both — they don't correspond to real fields and will generate false hard errors.</w:t>
      </w:r>
    </w:p>
    <w:p>
      <w:pPr>
        <w:pBdr>
          <w:bottom w:val="single" w:color="AAAAAA" w:sz="6" w:space="4"/>
        </w:pBdr>
        <w:spacing w:after="200"/>
      </w:pPr>
    </w:p>
    <w:p>
      <w:pPr>
        <w:pStyle w:val="Heading1"/>
        <w:spacing w:after="120" w:before="300"/>
      </w:pPr>
      <w:r>
        <w:t xml:space="preserve">7. F3 corrected to match F4b (RUM_BOV_OV BSE deletion)</w:t>
      </w:r>
    </w:p>
    <w:p>
      <w:pPr>
        <w:spacing w:after="120"/>
      </w:pPr>
      <w:r>
        <w:rPr>
          <w:b w:val="false"/>
          <w:bCs w:val="false"/>
          <w:i w:val="false"/>
          <w:iCs w:val="false"/>
        </w:rPr>
        <w:t xml:space="preserve">Location: F3. This is the contradiction you flagged in your proposals — F3's summary row still described the pre-BN49/25 deletion pattern while F4b (amended v4.4) and E67 (added v4.5) already reflect GB's BSE Negligible Risk status. Your API build was already following F4b; the master has now been brought into line.</w:t>
      </w:r>
    </w:p>
    <w:p>
      <w:pPr>
        <w:pBdr>
          <w:left w:val="single" w:color="999999" w:sz="12" w:space="8"/>
        </w:pBdr>
        <w:shd w:fill="D9D9D9" w:val="clear"/>
        <w:spacing w:after="160"/>
        <w:ind w:left="200"/>
      </w:pPr>
      <w:r>
        <w:t xml:space="preserve">RUM_BOV_OV: II.6 'either' deleted. II.6 'or' retained (header line only). Under 'or': inner '(2) either' [negligible BSE risk country, Decision 2007/453/EC] RETAINED. Sub-options (a) specified risk material, (b) mechanically separated meat, (c) pithing by-products all deleted.</w:t>
      </w:r>
    </w:p>
    <w:p>
      <w:pPr>
        <w:spacing w:after="120"/>
      </w:pPr>
      <w:r>
        <w:rPr>
          <w:b w:val="false"/>
          <w:bCs w:val="false"/>
          <w:i w:val="false"/>
          <w:iCs w:val="false"/>
        </w:rPr>
        <w:t xml:space="preserve">API action: none — your build already implements this correctly. Master now matches. No change needed on your side.</w:t>
      </w:r>
    </w:p>
    <w:p>
      <w:pPr>
        <w:pBdr>
          <w:bottom w:val="single" w:color="AAAAAA" w:sz="6" w:space="4"/>
        </w:pBdr>
        <w:spacing w:after="200"/>
      </w:pPr>
    </w:p>
    <w:p>
      <w:pPr>
        <w:pStyle w:val="Heading1"/>
        <w:spacing w:after="120" w:before="300"/>
      </w:pPr>
      <w:r>
        <w:t xml:space="preserve">8. H2 — Arla Foods Ingredients Viby-J address corrected</w:t>
      </w:r>
    </w:p>
    <w:p>
      <w:pPr>
        <w:spacing w:after="120"/>
      </w:pPr>
      <w:r>
        <w:rPr>
          <w:b w:val="false"/>
          <w:bCs w:val="false"/>
          <w:i w:val="false"/>
          <w:iCs w:val="false"/>
        </w:rPr>
        <w:t xml:space="preserve">Location: H2, "I.1/I.5 Arla" row. Your evidence (certificate imagery, 3 August) was correct.</w:t>
      </w:r>
    </w:p>
    <w:p>
      <w:pPr>
        <w:pBdr>
          <w:left w:val="single" w:color="999999" w:sz="12" w:space="8"/>
        </w:pBdr>
        <w:shd w:fill="D9D9D9" w:val="clear"/>
        <w:spacing w:after="160"/>
        <w:ind w:left="200"/>
      </w:pPr>
      <w:r>
        <w:t xml:space="preserve">I.5 (standard AFI EHCs): Soenderhoej 10-12, DK-8260 Viby-J, Denmark.</w:t>
      </w:r>
    </w:p>
    <w:p>
      <w:pPr>
        <w:spacing w:after="120"/>
      </w:pPr>
      <w:r>
        <w:rPr>
          <w:b w:val="false"/>
          <w:bCs w:val="false"/>
          <w:i w:val="false"/>
          <w:iCs w:val="false"/>
        </w:rPr>
        <w:t xml:space="preserve">Corrected from the previous "Soenderhoej 1-12" (a dropped zero, traceable back to v3.1).</w:t>
      </w:r>
    </w:p>
    <w:p>
      <w:pPr>
        <w:spacing w:after="160"/>
      </w:pPr>
      <w:r>
        <w:rPr>
          <w:b/>
          <w:bCs/>
        </w:rPr>
        <w:t xml:space="preserve">Note: </w:t>
      </w:r>
      <w:r>
        <w:t xml:space="preserve">certificate 26/2/217464 (dispatched, closed) legitimately shows "1-12" against the pre-correction library text and needs no retrospective action. Certificates checked from v4.7 onward showing "1-12" should be flagged as a transcription error against the corrected "10-12" entry.</w:t>
      </w:r>
    </w:p>
    <w:p>
      <w:pPr>
        <w:pBdr>
          <w:bottom w:val="single" w:color="AAAAAA" w:sz="6" w:space="4"/>
        </w:pBdr>
        <w:spacing w:after="200"/>
      </w:pPr>
    </w:p>
    <w:p>
      <w:pPr>
        <w:pStyle w:val="Heading1"/>
        <w:spacing w:after="120" w:before="300"/>
      </w:pPr>
      <w:r>
        <w:t xml:space="preserve">9. H2 — Gobia Ltd / Dairy Consumer Foods confirmed 8468-only</w:t>
      </w:r>
    </w:p>
    <w:p>
      <w:pPr>
        <w:spacing w:after="120"/>
      </w:pPr>
      <w:r>
        <w:rPr>
          <w:b w:val="false"/>
          <w:bCs w:val="false"/>
          <w:i w:val="false"/>
          <w:iCs w:val="false"/>
        </w:rPr>
        <w:t xml:space="preserve">Location: H2, both rows. Confirms your scope query — both entries are 8468 (human consumption) only at present, not in scope for 8322.</w:t>
      </w:r>
    </w:p>
    <w:p>
      <w:pPr>
        <w:spacing w:after="120"/>
      </w:pPr>
      <w:r>
        <w:rPr>
          <w:b w:val="false"/>
          <w:bCs w:val="false"/>
          <w:i w:val="false"/>
          <w:iCs w:val="false"/>
        </w:rPr>
        <w:t xml:space="preserve">API action: if your build had defaulted these two consignees to 8468 pending confirmation, that default is now confirmed correct. No further action unless a Cat 3 consignment is seen on either lane, in which case flag it back for a rule-set decision rather than adding 8322 scope automatically.</w:t>
      </w:r>
    </w:p>
    <w:p>
      <w:pPr>
        <w:pBdr>
          <w:bottom w:val="single" w:color="AAAAAA" w:sz="6" w:space="4"/>
        </w:pBdr>
        <w:spacing w:after="200"/>
      </w:pPr>
    </w:p>
    <w:p>
      <w:pPr>
        <w:pStyle w:val="Heading1"/>
        <w:spacing w:after="120" w:before="300"/>
      </w:pPr>
      <w:r>
        <w:t xml:space="preserve">10. H3 — DSV Transport P.I. entry strengthened; DSV Solutions Spain S.A.U. query closed</w:t>
      </w:r>
    </w:p>
    <w:p>
      <w:pPr>
        <w:spacing w:after="120"/>
      </w:pPr>
      <w:r>
        <w:rPr>
          <w:b w:val="false"/>
          <w:bCs w:val="false"/>
          <w:i w:val="false"/>
          <w:iCs w:val="false"/>
        </w:rPr>
        <w:t xml:space="preserve">Location: H3, "DSV Transport P.I." row. This closes the query raised in your covering note — confirmed against certificate imagery (26/2/223439) that "DSV Transport P.I." is the correct and only name to expect at this address.</w:t>
      </w:r>
    </w:p>
    <w:p>
      <w:pPr>
        <w:pBdr>
          <w:left w:val="single" w:color="999999" w:sz="12" w:space="8"/>
        </w:pBdr>
        <w:shd w:fill="D9D9D9" w:val="clear"/>
        <w:spacing w:after="160"/>
        <w:ind w:left="200"/>
      </w:pPr>
      <w:r>
        <w:t xml:space="preserve">"DSV Transport P.I." is the confirmed correct name at this address — any other name (including "DSV Solutions Spain S.A.U.") or any address deviation at I.12 for this destination = HARD error.</w:t>
      </w:r>
    </w:p>
    <w:p>
      <w:pPr>
        <w:spacing w:after="120"/>
      </w:pPr>
      <w:r>
        <w:rPr>
          <w:b w:val="false"/>
          <w:bCs w:val="false"/>
          <w:i w:val="false"/>
          <w:iCs w:val="false"/>
        </w:rPr>
        <w:t xml:space="preserve">API action: if your build carries "DSV Solutions Spain S.A.U." as an accepted alternate name at this address, remove it — any variant name or address here is now a HARD error, not a standing alternate.</w:t>
      </w:r>
    </w:p>
    <w:p>
      <w:pPr>
        <w:pBdr>
          <w:bottom w:val="single" w:color="AAAAAA" w:sz="6" w:space="4"/>
        </w:pBdr>
        <w:spacing w:after="200"/>
      </w:pPr>
    </w:p>
    <w:p>
      <w:pPr>
        <w:pStyle w:val="Heading1"/>
        <w:spacing w:after="120" w:before="300"/>
      </w:pPr>
      <w:r>
        <w:t xml:space="preserve">Summary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500"/>
      </w:tblGrid>
      <w:tr>
        <w:tc>
          <w:tcPr>
            <w:tcW w:type="dxa" w:w="900"/>
            <w:shd w:fill="D9D9D9" w:val="clear"/>
          </w:tcPr>
          <w:p>
            <w:r>
              <w:rPr>
                <w:b/>
                <w:bCs/>
              </w:rPr>
              <w:t xml:space="preserve">Item</w:t>
            </w:r>
          </w:p>
        </w:tc>
        <w:tc>
          <w:tcPr>
            <w:tcW w:type="dxa" w:w="2600"/>
            <w:shd w:fill="D9D9D9" w:val="clear"/>
          </w:tcPr>
          <w:p>
            <w:r>
              <w:rPr>
                <w:b/>
                <w:bCs/>
              </w:rPr>
              <w:t xml:space="preserve">Section(s)</w:t>
            </w:r>
          </w:p>
        </w:tc>
        <w:tc>
          <w:tcPr>
            <w:tcW w:type="dxa" w:w="5500"/>
            <w:shd w:fill="D9D9D9" w:val="clear"/>
          </w:tcPr>
          <w:p>
            <w:r>
              <w:rPr>
                <w:b/>
                <w:bCs/>
              </w:rPr>
              <w:t xml:space="preserve">API action required?</w:t>
            </w:r>
          </w:p>
        </w:tc>
      </w:tr>
      <w:tr>
        <w:tc>
          <w:tcPr>
            <w:tcW w:type="dxa" w:w="900"/>
          </w:tcPr>
          <w:p>
            <w:r>
              <w:t xml:space="preserve">1</w:t>
            </w:r>
          </w:p>
        </w:tc>
        <w:tc>
          <w:tcPr>
            <w:tcW w:type="dxa" w:w="2600"/>
          </w:tcPr>
          <w:p>
            <w:r>
              <w:t xml:space="preserve">H1</w:t>
            </w:r>
          </w:p>
        </w:tc>
        <w:tc>
          <w:tcPr>
            <w:tcW w:type="dxa" w:w="5500"/>
          </w:tcPr>
          <w:p>
            <w:r>
              <w:t xml:space="preserve">Yes — add establishment/approval entry, keyed to I.27 packaging</w:t>
            </w:r>
          </w:p>
        </w:tc>
      </w:tr>
      <w:tr>
        <w:tc>
          <w:tcPr>
            <w:tcW w:type="dxa" w:w="900"/>
          </w:tcPr>
          <w:p>
            <w:r>
              <w:t xml:space="preserve">2</w:t>
            </w:r>
          </w:p>
        </w:tc>
        <w:tc>
          <w:tcPr>
            <w:tcW w:type="dxa" w:w="2600"/>
          </w:tcPr>
          <w:p>
            <w:r>
              <w:t xml:space="preserve">E62</w:t>
            </w:r>
          </w:p>
        </w:tc>
        <w:tc>
          <w:tcPr>
            <w:tcW w:type="dxa" w:w="5500"/>
          </w:tcPr>
          <w:p>
            <w:r>
              <w:t xml:space="preserve">Yes — replace trailer-type test with packaging-type test</w:t>
            </w:r>
          </w:p>
        </w:tc>
      </w:tr>
      <w:tr>
        <w:tc>
          <w:tcPr>
            <w:tcW w:type="dxa" w:w="900"/>
          </w:tcPr>
          <w:p>
            <w:r>
              <w:t xml:space="preserve">3</w:t>
            </w:r>
          </w:p>
        </w:tc>
        <w:tc>
          <w:tcPr>
            <w:tcW w:type="dxa" w:w="2600"/>
          </w:tcPr>
          <w:p>
            <w:r>
              <w:t xml:space="preserve">B1, E64, H3 (M119)</w:t>
            </w:r>
          </w:p>
        </w:tc>
        <w:tc>
          <w:tcPr>
            <w:tcW w:type="dxa" w:w="5500"/>
          </w:tcPr>
          <w:p>
            <w:r>
              <w:t xml:space="preserve">Yes — confirm 8468-only; remove any Cat 3 branch for this lane</w:t>
            </w:r>
          </w:p>
        </w:tc>
      </w:tr>
      <w:tr>
        <w:tc>
          <w:tcPr>
            <w:tcW w:type="dxa" w:w="900"/>
          </w:tcPr>
          <w:p>
            <w:r>
              <w:t xml:space="preserve">4</w:t>
            </w:r>
          </w:p>
        </w:tc>
        <w:tc>
          <w:tcPr>
            <w:tcW w:type="dxa" w:w="2600"/>
          </w:tcPr>
          <w:p>
            <w:r>
              <w:t xml:space="preserve">C5, H3 (M119)</w:t>
            </w:r>
          </w:p>
        </w:tc>
        <w:tc>
          <w:tcPr>
            <w:tcW w:type="dxa" w:w="5500"/>
          </w:tcPr>
          <w:p>
            <w:r>
              <w:t xml:space="preserve">No change to C5. Add caution: don't assume M119 for any Cat 3 product at this site</w:t>
            </w:r>
          </w:p>
        </w:tc>
      </w:tr>
      <w:tr>
        <w:tc>
          <w:tcPr>
            <w:tcW w:type="dxa" w:w="900"/>
          </w:tcPr>
          <w:p>
            <w:r>
              <w:t xml:space="preserve">5</w:t>
            </w:r>
          </w:p>
        </w:tc>
        <w:tc>
          <w:tcPr>
            <w:tcW w:type="dxa" w:w="2600"/>
          </w:tcPr>
          <w:p>
            <w:r>
              <w:t xml:space="preserve">New E73</w:t>
            </w:r>
          </w:p>
        </w:tc>
        <w:tc>
          <w:tcPr>
            <w:tcW w:type="dxa" w:w="5500"/>
          </w:tcPr>
          <w:p>
            <w:r>
              <w:t xml:space="preserve">Yes — add rule (fully finalised, no dependency)</w:t>
            </w:r>
          </w:p>
        </w:tc>
      </w:tr>
      <w:tr>
        <w:tc>
          <w:tcPr>
            <w:tcW w:type="dxa" w:w="900"/>
          </w:tcPr>
          <w:p>
            <w:r>
              <w:t xml:space="preserve">6</w:t>
            </w:r>
          </w:p>
        </w:tc>
        <w:tc>
          <w:tcPr>
            <w:tcW w:type="dxa" w:w="2600"/>
          </w:tcPr>
          <w:p>
            <w:r>
              <w:t xml:space="preserve">D5</w:t>
            </w:r>
          </w:p>
        </w:tc>
        <w:tc>
          <w:tcPr>
            <w:tcW w:type="dxa" w:w="5500"/>
          </w:tcPr>
          <w:p>
            <w:r>
              <w:t xml:space="preserve">Yes — remove two false-field checks (8468)</w:t>
            </w:r>
          </w:p>
        </w:tc>
      </w:tr>
      <w:tr>
        <w:tc>
          <w:tcPr>
            <w:tcW w:type="dxa" w:w="900"/>
          </w:tcPr>
          <w:p>
            <w:r>
              <w:t xml:space="preserve">7</w:t>
            </w:r>
          </w:p>
        </w:tc>
        <w:tc>
          <w:tcPr>
            <w:tcW w:type="dxa" w:w="2600"/>
          </w:tcPr>
          <w:p>
            <w:r>
              <w:t xml:space="preserve">F3</w:t>
            </w:r>
          </w:p>
        </w:tc>
        <w:tc>
          <w:tcPr>
            <w:tcW w:type="dxa" w:w="5500"/>
          </w:tcPr>
          <w:p>
            <w:r>
              <w:t xml:space="preserve">No — your build already correct; master now matches</w:t>
            </w:r>
          </w:p>
        </w:tc>
      </w:tr>
      <w:tr>
        <w:tc>
          <w:tcPr>
            <w:tcW w:type="dxa" w:w="900"/>
          </w:tcPr>
          <w:p>
            <w:r>
              <w:t xml:space="preserve">8</w:t>
            </w:r>
          </w:p>
        </w:tc>
        <w:tc>
          <w:tcPr>
            <w:tcW w:type="dxa" w:w="2600"/>
          </w:tcPr>
          <w:p>
            <w:r>
              <w:t xml:space="preserve">H2</w:t>
            </w:r>
          </w:p>
        </w:tc>
        <w:tc>
          <w:tcPr>
            <w:tcW w:type="dxa" w:w="5500"/>
          </w:tcPr>
          <w:p>
            <w:r>
              <w:t xml:space="preserve">Yes — update stored address to "10-12"</w:t>
            </w:r>
          </w:p>
        </w:tc>
      </w:tr>
      <w:tr>
        <w:tc>
          <w:tcPr>
            <w:tcW w:type="dxa" w:w="900"/>
          </w:tcPr>
          <w:p>
            <w:r>
              <w:t xml:space="preserve">9</w:t>
            </w:r>
          </w:p>
        </w:tc>
        <w:tc>
          <w:tcPr>
            <w:tcW w:type="dxa" w:w="2600"/>
          </w:tcPr>
          <w:p>
            <w:r>
              <w:t xml:space="preserve">H2</w:t>
            </w:r>
          </w:p>
        </w:tc>
        <w:tc>
          <w:tcPr>
            <w:tcW w:type="dxa" w:w="5500"/>
          </w:tcPr>
          <w:p>
            <w:r>
              <w:t xml:space="preserve">No — confirms existing default</w:t>
            </w:r>
          </w:p>
        </w:tc>
      </w:tr>
      <w:tr>
        <w:tc>
          <w:tcPr>
            <w:tcW w:type="dxa" w:w="900"/>
          </w:tcPr>
          <w:p>
            <w:r>
              <w:t xml:space="preserve">10</w:t>
            </w:r>
          </w:p>
        </w:tc>
        <w:tc>
          <w:tcPr>
            <w:tcW w:type="dxa" w:w="2600"/>
          </w:tcPr>
          <w:p>
            <w:r>
              <w:t xml:space="preserve">H3</w:t>
            </w:r>
          </w:p>
        </w:tc>
        <w:tc>
          <w:tcPr>
            <w:tcW w:type="dxa" w:w="5500"/>
          </w:tcPr>
          <w:p>
            <w:r>
              <w:t xml:space="preserve">Yes — remove DSV Solutions Spain S.A.U. as accepted alternate</w:t>
            </w:r>
          </w:p>
        </w:tc>
      </w:tr>
    </w:tbl>
    <w:p>
      <w:pPr>
        <w:pBdr>
          <w:bottom w:val="single" w:color="AAAAAA" w:sz="6" w:space="4"/>
        </w:pBdr>
        <w:spacing w:after="200"/>
      </w:pPr>
    </w:p>
    <w:p>
      <w:pPr>
        <w:spacing w:after="120"/>
      </w:pPr>
      <w:r>
        <w:rPr>
          <w:b w:val="false"/>
          <w:bCs w:val="false"/>
          <w:i/>
          <w:iCs/>
        </w:rPr>
        <w:t xml:space="preserve">Outstanding, not yet part of this sync: the wider NI/DAERA I.15 vessel-tick and I.13 exit-port question remains open (see B1 I.15 PENDING note; E72 partially resolves this for the specific County Milk/Belfast lane only). No action needed until that's confirmed.</w:t>
      </w:r>
    </w:p>
    <w:p>
      <w:pPr>
        <w:spacing w:after="120"/>
      </w:pPr>
      <w:r>
        <w:rPr>
          <w:b/>
          <w:bCs/>
          <w:i w:val="false"/>
          <w:iCs w:val="false"/>
        </w:rPr>
        <w:t xml:space="preserve">Please confirm once your build is aligned to the items above so both sides stay in step. Happy to talk through any of them.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2026-08-27T14:13:13.666Z</dcterms:created>
  <dcterms:modified xsi:type="dcterms:W3CDTF">2026-08-27T14:13:13.679Z</dcterms:modified>
</cp:coreProperties>
</file>

<file path=docProps/custom.xml><?xml version="1.0" encoding="utf-8"?>
<Properties xmlns="http://schemas.openxmlformats.org/officeDocument/2006/custom-properties" xmlns:vt="http://schemas.openxmlformats.org/officeDocument/2006/docPropsVTypes"/>
</file>