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École des Vergers — Specification extract, section K10</w:t>
      </w:r>
    </w:p>
    <w:p>
      <w:r>
        <w:t xml:space="preserve">Plasterboard linings and partitions</w:t>
      </w:r>
    </w:p>
    <w:p>
      <w:r>
        <w:t xml:space="preserve">K10/110 Metal stud partition, 100 mm</w:t>
      </w:r>
    </w:p>
    <w:p>
      <w:r>
        <w:t xml:space="preserve">Studs: galvanised steel C stud at 600 mm centres, 92 mm, to the head and floor channels specified. Deflection head to be provided where the partition abuts a concrete soffit.</w:t>
      </w:r>
    </w:p>
    <w:p>
      <w:r>
        <w:t xml:space="preserve">Linings: two layers of 12.5 mm plasterboard each side, joints staggered. Fire rating EI30 where scheduled. Tapered edge boards, jointed and filled ready for decoration.</w:t>
      </w:r>
    </w:p>
    <w:p>
      <w:r>
        <w:t xml:space="preserve">Insulation: 75 mm mineral wool, density 45 kg/m3, friction fitted between studs. Full fill, no gaps at the head or at service penetrations.</w:t>
      </w:r>
    </w:p>
    <w:p>
      <w:r>
        <w:t xml:space="preserve">Acoustic performance: minimum Rw 47 dB where the partition separates a classroom from a corridor. Test evidence for the exact build-up to be provided before installation.</w:t>
      </w:r>
    </w:p>
    <w:p>
      <w:r>
        <w:t xml:space="preserve">K10/120 Service penetrations</w:t>
      </w:r>
    </w:p>
    <w:p>
      <w:r>
        <w:t xml:space="preserve">All penetrations through fire-rated partitions to be sealed with a proprietary system tested in the same build-up. Sleeves, collars and batts to be recorded on the fire stopping register with a photograph of each before the lining is closed.</w:t>
      </w:r>
    </w:p>
    <w:p>
      <w:r>
        <w:t xml:space="preserve">K10/130 Junctions</w:t>
      </w:r>
    </w:p>
    <w:p>
      <w:r>
        <w:t xml:space="preserve">Partitions to be continuous to the soffit where the fire or acoustic rating requires it. Partitions stopping at ceiling level are permitted only where scheduled as non-rated. Where a partition abuts glazing, a flexible closer is to be used, not a rigid bead.</w:t>
      </w:r>
    </w:p>
    <w:p>
      <w:r>
        <w:t xml:space="preserve">K10/140 Tolerances</w:t>
      </w:r>
    </w:p>
    <w:p>
      <w:r>
        <w:t xml:space="preserve">Plumb within 3 mm in 2 400 mm. Flatness within 3 mm under a 1 800 mm straight edge. Board joints not to coincide with door openings.</w:t>
      </w:r>
    </w:p>
  </w:body>
</w:document>
</file>