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Sustainability statement — draft for comment</w:t>
      </w:r>
    </w:p>
    <w:p>
      <w:r>
        <w:t xml:space="preserve">DBS Architectes · portfolio position August 2026</w:t>
      </w:r>
    </w:p>
    <w:p>
      <w:r>
        <w:t xml:space="preserve">1. Purpose</w:t>
      </w:r>
    </w:p>
    <w:p>
      <w:r>
        <w:t xml:space="preserve">This statement sets out how environmental performance is addressed across the practice's live projects, and what is measured rather than asserted.</w:t>
      </w:r>
    </w:p>
    <w:p>
      <w:r>
        <w:t xml:space="preserve">2. Operational energy</w:t>
      </w:r>
    </w:p>
    <w:p>
      <w:r>
        <w:t xml:space="preserve">Every new-build project since 2024 has been designed to MINERGIE or better in Switzerland, and to CasaClima B or better in Italy. Predicted demand across the eight measured projects ranges from 12 kWh/m2.a at Refuge de Moiry to 48 at Villa Mirasole. Palazzo Sant'Orso, at 96, is a retained heritage building operating under a derogation.</w:t>
      </w:r>
    </w:p>
    <w:p>
      <w:r>
        <w:t xml:space="preserve">3. Embodied carbon</w:t>
      </w:r>
    </w:p>
    <w:p>
      <w:r>
        <w:t xml:space="preserve">Embodied carbon is reported at each design stage on all projects above 500 m2. The largest single reduction achieved to date is at Ateliers du Rhône, where retaining the existing concrete frame avoids an estimated 340 tonnes against rebuild.</w:t>
      </w:r>
    </w:p>
    <w:p>
      <w:r>
        <w:t xml:space="preserve">4. Materials</w:t>
      </w:r>
    </w:p>
    <w:p>
      <w:r>
        <w:t xml:space="preserve">Facade material selection is now made against a comparison of embodied carbon, cost and lead time together rather than appearance alone. Local untreated larch at 8.4 kgCO2e/m2 is preferred to anodised aluminium at 74.2 where the exposure allows it.</w:t>
      </w:r>
    </w:p>
    <w:p>
      <w:r>
        <w:t xml:space="preserve">5. What is not yet measured</w:t>
      </w:r>
    </w:p>
    <w:p>
      <w:r>
        <w:t xml:space="preserve">Water use is not currently reported. Post-occupancy energy performance is measured on two projects only, both by the client rather than by us. The gap between predicted and actual demand is therefore unknown across the portfolio, and that is the most significant weakness in this statement.</w:t>
      </w:r>
    </w:p>
    <w:p>
      <w:r>
        <w:t xml:space="preserve">6. Next steps</w:t>
      </w:r>
    </w:p>
    <w:p>
      <w:r>
        <w:t xml:space="preserve">Extend post-occupancy measurement to all projects completing after 2026. Introduce water reporting at the next revision of the design brief template.</w:t>
      </w:r>
    </w:p>
  </w:body>
</w:document>
</file>