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Résidence Belvédère — Design brief</w:t>
      </w:r>
    </w:p>
    <w:p>
      <w:r>
        <w:t xml:space="preserve">Revision C · August 2026 · DBS Architectes</w:t>
      </w:r>
    </w:p>
    <w:p>
      <w:r>
        <w:t xml:space="preserve">1. The commission</w:t>
      </w:r>
    </w:p>
    <w:p>
      <w:r>
        <w:t xml:space="preserve">Eleven dwellings on parcel 4182 at Chemin des Collines, Sion. The site falls approximately 2.4 m from north to south and enjoys an open outlook to the Rhône valley. The brief is for a building that reads as one volume rather than a terrace, and that gives every dwelling a usable outdoor room.</w:t>
      </w:r>
    </w:p>
    <w:p>
      <w:r>
        <w:t xml:space="preserve">2. Accommodation</w:t>
      </w:r>
    </w:p>
    <w:p>
      <w:r>
        <w:t xml:space="preserve">Three two-room dwellings, five three-room and three four-room. Every dwelling has a balcony or terrace of at least 12 m2. Circulation is by two cores rather than a single corridor, so no dwelling is entered from a space longer than 9 m.</w:t>
      </w:r>
    </w:p>
    <w:p>
      <w:r>
        <w:t xml:space="preserve">3. Environmental ambition</w:t>
      </w:r>
    </w:p>
    <w:p>
      <w:r>
        <w:t xml:space="preserve">MINERGIE-P is a requirement, not an aspiration. Predicted demand is 28 kWh/m2.a. Heating is by ground-source heat pump. A 34 kWp photovoltaic array is proposed on the south roof. Embodied carbon is to be reported at each stage, and the timber frame was selected on that basis.</w:t>
      </w:r>
    </w:p>
    <w:p>
      <w:r>
        <w:t xml:space="preserve">4. Materials</w:t>
      </w:r>
    </w:p>
    <w:p>
      <w:r>
        <w:t xml:space="preserve">Untreated larch cladding on an insulated timber frame. The client accepts that the facade will silver and has agreed that no treatment will be applied. Windows are triple-glazed timber with aluminium capping. Balcony soffits are in the same larch.</w:t>
      </w:r>
    </w:p>
    <w:p>
      <w:r>
        <w:t xml:space="preserve">5. Budget</w:t>
      </w:r>
    </w:p>
    <w:p>
      <w:r>
        <w:t xml:space="preserve">The construction budget is CHF 2 750 000 excluding fees and VAT. The phase 2 cost plan returned CHF 2 883 300, an overrun of 4.8 per cent. Value engineering options are to be prepared without reducing the environmental standard or the balcony areas, both of which the client has identified as fixed.</w:t>
      </w:r>
    </w:p>
    <w:p>
      <w:r>
        <w:t xml:space="preserve">6. Programme</w:t>
      </w:r>
    </w:p>
    <w:p>
      <w:r>
        <w:t xml:space="preserve">Permit submission 18 September 2026. Tender November 2026. Start on site February 2027. Completion is sought before the 2028 heating season.</w:t>
      </w:r>
    </w:p>
    <w:p>
      <w:r>
        <w:t xml:space="preserve">7. Constraints</w:t>
      </w:r>
    </w:p>
    <w:p>
      <w:r>
        <w:t xml:space="preserve">Floor area ratio 0.55 maximum, achieved at 0.52. Height 11.0 m maximum, achieved at 9.4 m. The two mature trees at the north boundary are to be retained.</w:t>
      </w:r>
    </w:p>
  </w:body>
</w:document>
</file>