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Villa Mirasole — Client meeting notes</w:t>
      </w:r>
    </w:p>
    <w:p>
      <w:r>
        <w:t xml:space="preserve">13 August 2026 · Milano office</w:t>
      </w:r>
    </w:p>
    <w:p>
      <w:r>
        <w:t xml:space="preserve">Present: the client, the project manager and the architect. Notes taken by the project manager and issued for comment.</w:t>
      </w:r>
    </w:p>
    <w:p>
      <w:r>
        <w:t xml:space="preserve">1. Permit</w:t>
      </w:r>
    </w:p>
    <w:p>
      <w:r>
        <w:t xml:space="preserve">The permesso di costruire has been granted with five conditions. The client was taken through each. Condition 1, the refusal of the render sample, was discussed at length.</w:t>
      </w:r>
    </w:p>
    <w:p>
      <w:r>
        <w:t xml:space="preserve">2. Render</w:t>
      </w:r>
    </w:p>
    <w:p>
      <w:r>
        <w:t xml:space="preserve">The submitted sample was a cement-based render. The comune requires a lime-based finish. The client initially resisted on cost, and was shown the comparison: lime adds approximately EUR 8 400 across the elevations. The client accepted this rather than appeal, on the basis that an appeal would cost more in delay than the difference in material.</w:t>
      </w:r>
    </w:p>
    <w:p>
      <w:r>
        <w:t xml:space="preserve">3. Trees</w:t>
      </w:r>
    </w:p>
    <w:p>
      <w:r>
        <w:t xml:space="preserve">The two lime trees at the southern boundary are to be retained under condition 4. The client asked whether one could be removed to widen the terrace. The answer is no without a separate authorisation, which is unlikely to succeed. The terrace is to be redesigned around the tree instead.</w:t>
      </w:r>
    </w:p>
    <w:p>
      <w:r>
        <w:t xml:space="preserve">4. Programme</w:t>
      </w:r>
    </w:p>
    <w:p>
      <w:r>
        <w:t xml:space="preserve">Start on site is confirmed for 5 October 2026. The construction management plan is due fourteen days before, so 21 September.</w:t>
      </w:r>
    </w:p>
    <w:p>
      <w:r>
        <w:t xml:space="preserve">5. Energy certificate</w:t>
      </w:r>
    </w:p>
    <w:p>
      <w:r>
        <w:t xml:space="preserve">CasaClima class B is a condition of occupation, not only of consent. The client was reminded that the test is at completion and that a failure at that point is expensive to remedy.</w:t>
      </w:r>
    </w:p>
    <w:p>
      <w:r>
        <w:t xml:space="preserve">6. Actions</w:t>
      </w:r>
    </w:p>
    <w:p>
      <w:r>
        <w:t xml:space="preserve">Revised lime render sample to the comune by 5 September. Terrace redesign for comment by 29 August. Construction management plan by 21 September.</w:t>
      </w:r>
    </w:p>
  </w:body>
</w:document>
</file>