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Sima</w:t>
      </w:r>
      <w:r>
        <w:t xml:space="preserve"> </w:t>
      </w:r>
      <w:r>
        <w:t xml:space="preserve">Biondi</w:t>
      </w:r>
    </w:p>
    <w:p>
      <w:pPr>
        <w:pStyle w:val="Date"/>
      </w:pPr>
      <w:r>
        <w:t xml:space="preserve">4/7/2022</w:t>
      </w:r>
    </w:p>
    <w:bookmarkStart w:id="26" w:name="nominations-tables"/>
    <w:p>
      <w:pPr>
        <w:pStyle w:val="Heading2"/>
      </w:pPr>
      <w:r>
        <w:t xml:space="preserve">Nominations tables</w:t>
      </w:r>
    </w:p>
    <w:bookmarkStart w:id="20" w:name="nomination-data-split-by-president"/>
    <w:p>
      <w:pPr>
        <w:pStyle w:val="Heading3"/>
      </w:pPr>
      <w:r>
        <w:t xml:space="preserve">Nomination data split by president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7"/>
        <w:gridCol w:w="800"/>
        <w:gridCol w:w="767"/>
        <w:gridCol w:w="923"/>
        <w:gridCol w:w="611"/>
        <w:gridCol w:w="522"/>
        <w:gridCol w:w="878"/>
        <w:gridCol w:w="578"/>
        <w:gridCol w:w="611"/>
        <w:gridCol w:w="800"/>
      </w:tblGrid>
      <w:tr>
        <w:trPr>
          <w:cantSplit/>
          <w:trHeight w:val="418" w:hRule="auto"/>
          <w:tblHeader/>
        </w:trPr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Duration of nomination hearings (in minutes)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Substantive antitrust discussions?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Substantive attitudes toward enforcement</w:t>
            </w:r>
          </w:p>
        </w:tc>
      </w:tr>
      <w:tr>
        <w:trPr>
          <w:cantSplit/>
          <w:trHeight w:val="418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Pro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Anti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Mixed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Nixon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83.7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90.0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77.78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Ford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55.0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50.0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66.67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Carter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61.6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48.0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Reagan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45.6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33.0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GHWB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31.7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42.86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Clinton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39.1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37.50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4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GWB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33.9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22.0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22.22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Obama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25.7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28.57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Trump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33.0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37.0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Biden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34.5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34.5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</w:tr>
    </w:tbl>
    <w:bookmarkEnd w:id="20"/>
    <w:bookmarkStart w:id="21" w:name="Xc4f3e1bffdbd3fd0c4ed5d73426ab7e9b485b9b"/>
    <w:p>
      <w:pPr>
        <w:pStyle w:val="Heading3"/>
      </w:pPr>
      <w:r>
        <w:t xml:space="preserve">Nomination data split by type of position and president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97"/>
        <w:gridCol w:w="867"/>
        <w:gridCol w:w="747"/>
        <w:gridCol w:w="717"/>
        <w:gridCol w:w="857"/>
        <w:gridCol w:w="577"/>
        <w:gridCol w:w="497"/>
        <w:gridCol w:w="817"/>
        <w:gridCol w:w="547"/>
        <w:gridCol w:w="577"/>
        <w:gridCol w:w="747"/>
      </w:tblGrid>
      <w:tr>
        <w:trPr>
          <w:cantSplit/>
          <w:trHeight w:val="436" w:hRule="auto"/>
          <w:tblHeader/>
        </w:trPr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Duration of nomination hearings (in minutes)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Substantive antitrust discussions?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Substantive attitudes toward enforcement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Agency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Count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Pro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Anti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Mixed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Nixon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DOJ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58.0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58.0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Nixon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FTC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91.0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90.0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71.43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FTC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55.0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50.0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66.67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Carter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DOJ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83.5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83.5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Carter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FTC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47.0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48.0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Reagan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DOJ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92.0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82.0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Reagan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FTC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25.7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42.86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GHWB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DOJ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57.0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57.0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GHWB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FTC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21.6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20.0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Clinton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DOJ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82.5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82.5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Clinton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FTC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24.7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18.5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16.67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GWB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DOJ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76.0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91.0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33.33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GWB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FTC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12.8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11.5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16.67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Obama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DOJ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43.0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43.0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Obama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FTC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18.8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14.0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Trump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DOJ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20.0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20.0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Trump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FTC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35.6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37.0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Biden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DOJ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14.0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14.0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40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Biden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FTC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55.0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55.0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</w:t>
            </w:r>
          </w:p>
        </w:tc>
      </w:tr>
    </w:tbl>
    <w:bookmarkEnd w:id="21"/>
    <w:bookmarkStart w:id="22" w:name="X8c25396e3bd119855c533de48596eb2d6648f6e"/>
    <w:p>
      <w:pPr>
        <w:pStyle w:val="Heading3"/>
      </w:pPr>
      <w:r>
        <w:t xml:space="preserve">Nomination data split by type of position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4"/>
        <w:gridCol w:w="800"/>
        <w:gridCol w:w="767"/>
        <w:gridCol w:w="923"/>
        <w:gridCol w:w="611"/>
        <w:gridCol w:w="522"/>
        <w:gridCol w:w="767"/>
        <w:gridCol w:w="578"/>
        <w:gridCol w:w="611"/>
        <w:gridCol w:w="800"/>
      </w:tblGrid>
      <w:tr>
        <w:trPr>
          <w:cantSplit/>
          <w:trHeight w:val="454" w:hRule="auto"/>
          <w:tblHeader/>
        </w:trPr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Duration of nomination hearings (in minutes)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Substantive antitrust discussions?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Substantive attitudes toward enforcement</w:t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Agency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Pro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Anti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Mixed</w:t>
            </w:r>
          </w:p>
        </w:tc>
      </w:tr>
      <w:tr>
        <w:trPr>
          <w:cantSplit/>
          <w:trHeight w:val="4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DOJ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65.9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83.33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FTC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37.1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35.42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</w:t>
            </w:r>
          </w:p>
        </w:tc>
      </w:tr>
    </w:tbl>
    <w:bookmarkEnd w:id="22"/>
    <w:bookmarkStart w:id="23" w:name="nomination-data-split-by-decade"/>
    <w:p>
      <w:pPr>
        <w:pStyle w:val="Heading3"/>
      </w:pPr>
      <w:r>
        <w:t xml:space="preserve">Nomination data split by decade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23"/>
        <w:gridCol w:w="800"/>
        <w:gridCol w:w="767"/>
        <w:gridCol w:w="923"/>
        <w:gridCol w:w="611"/>
        <w:gridCol w:w="522"/>
        <w:gridCol w:w="767"/>
        <w:gridCol w:w="578"/>
        <w:gridCol w:w="611"/>
        <w:gridCol w:w="800"/>
      </w:tblGrid>
      <w:tr>
        <w:trPr>
          <w:cantSplit/>
          <w:trHeight w:val="418" w:hRule="auto"/>
          <w:tblHeader/>
        </w:trPr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Duration of nomination hearings (in minutes)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Substantive antitrust discussions?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Substantive attitudes toward enforcement</w:t>
            </w:r>
          </w:p>
        </w:tc>
      </w:tr>
      <w:tr>
        <w:trPr>
          <w:cantSplit/>
          <w:trHeight w:val="418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Pro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Anti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Mixed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1969-1979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72.1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75.0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82.35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1980-1989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44.4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61.54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1990-1999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34.5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33.33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2000-2009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33.0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23.5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2010-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29.4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33.5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8.33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</w:tr>
    </w:tbl>
    <w:bookmarkEnd w:id="23"/>
    <w:bookmarkStart w:id="24" w:name="X673cd6abc13749270e8f560ce55620edf76e730"/>
    <w:p>
      <w:pPr>
        <w:pStyle w:val="Heading3"/>
      </w:pPr>
      <w:r>
        <w:t xml:space="preserve">Nomination data split by party in control of Senate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7"/>
        <w:gridCol w:w="747"/>
        <w:gridCol w:w="717"/>
        <w:gridCol w:w="857"/>
        <w:gridCol w:w="577"/>
        <w:gridCol w:w="497"/>
        <w:gridCol w:w="717"/>
        <w:gridCol w:w="547"/>
        <w:gridCol w:w="577"/>
        <w:gridCol w:w="747"/>
      </w:tblGrid>
      <w:tr>
        <w:trPr>
          <w:cantSplit/>
          <w:trHeight w:val="403" w:hRule="auto"/>
          <w:tblHeader/>
        </w:trPr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Duration of nomination hearings (in minutes)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Substantive antitrust discussions?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Substantive attitudes toward enforcement</w:t>
            </w:r>
          </w:p>
        </w:tc>
      </w:tr>
      <w:tr>
        <w:trPr>
          <w:cantSplit/>
          <w:trHeight w:val="403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Senate control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Count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Pro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Anti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Mixed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Democrats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50.6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45.5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60.53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Republicans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37.4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28.5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32.14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</w:tr>
    </w:tbl>
    <w:bookmarkEnd w:id="24"/>
    <w:bookmarkStart w:id="25" w:name="X53b6de153c718f86c75a4677b94dc204c2784ba"/>
    <w:p>
      <w:pPr>
        <w:pStyle w:val="Heading3"/>
      </w:pPr>
      <w:r>
        <w:t xml:space="preserve">Nomination data split by era and party in control of Senate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0"/>
        <w:gridCol w:w="2045"/>
        <w:gridCol w:w="694"/>
        <w:gridCol w:w="667"/>
        <w:gridCol w:w="791"/>
        <w:gridCol w:w="542"/>
        <w:gridCol w:w="471"/>
        <w:gridCol w:w="667"/>
        <w:gridCol w:w="516"/>
        <w:gridCol w:w="542"/>
        <w:gridCol w:w="693"/>
      </w:tblGrid>
      <w:tr>
        <w:trPr>
          <w:cantSplit/>
          <w:trHeight w:val="419" w:hRule="auto"/>
          <w:tblHeader/>
        </w:trPr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Duration of nomination hearings (in minutes)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Substantive antitrust discussions?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Substantive attitudes toward enforcement</w:t>
            </w:r>
          </w:p>
        </w:tc>
      </w:tr>
      <w:tr>
        <w:trPr>
          <w:cantSplit/>
          <w:trHeight w:val="419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Enforcement era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Party with Senate control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Count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Pro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Anti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Mixed</w:t>
            </w:r>
          </w:p>
        </w:tc>
      </w:tr>
      <w:tr>
        <w:trPr>
          <w:cantSplit/>
          <w:trHeight w:val="4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High enforcement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Democrats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80.3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90.0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80.00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Low enforcement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Democrats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26.0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53.57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4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Low enforcement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Republicans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37.4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28.5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32.14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</w:t>
            </w:r>
          </w:p>
        </w:tc>
      </w:tr>
    </w:tbl>
    <w:bookmarkEnd w:id="25"/>
    <w:bookmarkEnd w:id="26"/>
    <w:bookmarkStart w:id="30" w:name="sct-data-analysis-tables"/>
    <w:p>
      <w:pPr>
        <w:pStyle w:val="Heading2"/>
      </w:pPr>
      <w:r>
        <w:t xml:space="preserve">SCT data analysis tables</w:t>
      </w:r>
    </w:p>
    <w:bookmarkStart w:id="27" w:name="Xa73b115bfe8052ab17a284816e7487e667cad01"/>
    <w:p>
      <w:pPr>
        <w:pStyle w:val="Heading3"/>
      </w:pPr>
      <w:r>
        <w:t xml:space="preserve">Summary mean of overall business friendliness score (bf) and business friendliness score of business-related cases appearing in the NYT (nyt)</w:t>
      </w:r>
    </w:p>
    <w:bookmarkEnd w:id="27"/>
    <w:bookmarkStart w:id="28" w:name="inclusive-of-all-cases"/>
    <w:p>
      <w:pPr>
        <w:pStyle w:val="Heading3"/>
      </w:pPr>
      <w:r>
        <w:t xml:space="preserve">Inclusive of all cases: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06"/>
        <w:gridCol w:w="850"/>
        <w:gridCol w:w="694"/>
        <w:gridCol w:w="850"/>
        <w:gridCol w:w="694"/>
        <w:gridCol w:w="586"/>
        <w:gridCol w:w="617"/>
        <w:gridCol w:w="1022"/>
        <w:gridCol w:w="648"/>
        <w:gridCol w:w="648"/>
      </w:tblGrid>
      <w:tr>
        <w:trPr>
          <w:cantSplit/>
          <w:trHeight w:val="401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Democrats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Republicans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40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Type of score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Mean (D)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SD (D)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Mean (R)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SD (R)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Significance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Upper</w:t>
            </w:r>
          </w:p>
        </w:tc>
      </w:tr>
      <w:tr>
        <w:trPr>
          <w:cantSplit/>
          <w:trHeight w:val="3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Business-friendliness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-3.36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33.22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-0.05</w:t>
            </w:r>
          </w:p>
        </w:tc>
      </w:tr>
      <w:tr>
        <w:trPr>
          <w:cantSplit/>
          <w:trHeight w:val="39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Business-friendliness (NYT cases)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-2.45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33.06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4"/>
                <w:szCs w:val="14"/>
                <w:color w:val="000000"/>
              </w:rPr>
              <w:t xml:space="preserve">-0.02</w:t>
            </w:r>
          </w:p>
        </w:tc>
      </w:tr>
    </w:tbl>
    <w:bookmarkEnd w:id="28"/>
    <w:bookmarkStart w:id="29" w:name="grouped-by-era"/>
    <w:p>
      <w:pPr>
        <w:pStyle w:val="Heading3"/>
      </w:pPr>
      <w:r>
        <w:t xml:space="preserve">Grouped by era:</w:t>
      </w:r>
    </w:p>
    <w:p>
      <w:pPr>
        <w:pStyle w:val="FirstParagraph"/>
      </w:pPr>
      <w:r>
        <w:t xml:space="preserve">High enforcement: 1945-1975.</w:t>
      </w:r>
      <w:r>
        <w:t xml:space="preserve"> </w:t>
      </w:r>
      <w:r>
        <w:t xml:space="preserve">Low enforcement: 1976-2019.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01"/>
        <w:gridCol w:w="907"/>
        <w:gridCol w:w="774"/>
        <w:gridCol w:w="860"/>
        <w:gridCol w:w="727"/>
        <w:gridCol w:w="540"/>
        <w:gridCol w:w="567"/>
        <w:gridCol w:w="914"/>
        <w:gridCol w:w="594"/>
        <w:gridCol w:w="594"/>
      </w:tblGrid>
      <w:tr>
        <w:trPr>
          <w:cantSplit/>
          <w:trHeight w:val="382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High enforcement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Low enforcement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82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Type of score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Mean (high)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SD (high)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Mean (low)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SD (low)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Significance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Upper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Business-friendliness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-4.71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21.11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-0.10</w:t>
            </w:r>
          </w:p>
        </w:tc>
      </w:tr>
      <w:tr>
        <w:trPr>
          <w:cantSplit/>
          <w:trHeight w:val="37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Business-friendliness (NYT cases)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-2.62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16.86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2"/>
                <w:szCs w:val="12"/>
                <w:color w:val="000000"/>
              </w:rPr>
              <w:t xml:space="preserve">-0.03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 project - data tables</dc:title>
  <dc:creator>Sima Biondi</dc:creator>
  <cp:keywords/>
  <dcterms:created xsi:type="dcterms:W3CDTF">2022-04-07T16:52:55Z</dcterms:created>
  <dcterms:modified xsi:type="dcterms:W3CDTF">2022-04-07T16:52:55Z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4/7/2022</vt:lpwstr>
  </property>
  <property fmtid="{D5CDD505-2E9C-101B-9397-08002B2CF9AE}" pid="3" name="output">
    <vt:lpwstr>word_document</vt:lpwstr>
  </property>
</Properties>
</file>