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Reliability growth test report, phase 1, revision 3 (synthetic)</w:t>
      </w:r>
    </w:p>
    <w:bookmarkStart w:id="9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report gives the phase 1 reliability growth test results for the three candidate light tactical vehicle configurations. All figures are synthetic and illustrative; they are not estimates for any real vehicle.</w:t>
      </w:r>
    </w:p>
    <w:bookmarkEnd w:id="9"/>
    <w:bookmarkStart w:id="10" w:name="test-conditions"/>
    <w:p>
      <w:pPr>
        <w:pStyle w:val="Heading1"/>
      </w:pPr>
      <w:r>
        <w:t xml:space="preserve">2 Test conditions</w:t>
      </w:r>
    </w:p>
    <w:p>
      <w:pPr>
        <w:pStyle w:val="FirstParagraph"/>
      </w:pPr>
      <w:r>
        <w:t xml:space="preserve">Each test article completed 2,000 miles on the mixed-terrain endurance course at gross vehicle weight, in eight-hour shifts, with ambient temperatures between 5 and 38 °C. Mission reliability is the probability of completing a 100-mile mission without an essential function failure, estimated from the failures observed with a Crow-AMSAA growth model.</w:t>
      </w:r>
    </w:p>
    <w:bookmarkEnd w:id="10"/>
    <w:bookmarkStart w:id="15" w:name="results"/>
    <w:p>
      <w:pPr>
        <w:pStyle w:val="Heading1"/>
      </w:pPr>
      <w:r>
        <w:t xml:space="preserve">3 Results</w:t>
      </w:r>
    </w:p>
    <w:bookmarkStart w:id="11" w:name="vehicle-a"/>
    <w:p>
      <w:pPr>
        <w:pStyle w:val="Heading2"/>
      </w:pPr>
      <w:r>
        <w:t xml:space="preserve">3.1 Vehicle A</w:t>
      </w:r>
    </w:p>
    <w:p>
      <w:pPr>
        <w:pStyle w:val="FirstParagraph"/>
      </w:pPr>
      <w:r>
        <w:t xml:space="preserve">Vehicle A, the current production derivative, recorded three essential function failures, all in the cooling system. Its demonstrated mission reliability is 0.97.</w:t>
      </w:r>
    </w:p>
    <w:bookmarkEnd w:id="11"/>
    <w:bookmarkStart w:id="12" w:name="vehicle-b"/>
    <w:p>
      <w:pPr>
        <w:pStyle w:val="Heading2"/>
      </w:pPr>
      <w:r>
        <w:t xml:space="preserve">3.2 Vehicle B</w:t>
      </w:r>
    </w:p>
    <w:p>
      <w:pPr>
        <w:pStyle w:val="FirstParagraph"/>
      </w:pPr>
      <w:r>
        <w:t xml:space="preserve">Vehicle B, the extended-range hybrid, recorded two essential function failures, both in the hybrid power electronics. Its demonstrated mission reliability is 0.98.</w:t>
      </w:r>
    </w:p>
    <w:bookmarkEnd w:id="12"/>
    <w:bookmarkStart w:id="13" w:name="vehicle-c"/>
    <w:p>
      <w:pPr>
        <w:pStyle w:val="Heading2"/>
      </w:pPr>
      <w:r>
        <w:t xml:space="preserve">3.3 Vehicle C</w:t>
      </w:r>
    </w:p>
    <w:p>
      <w:pPr>
        <w:pStyle w:val="FirstParagraph"/>
      </w:pPr>
      <w:r>
        <w:t xml:space="preserve">Vehicle C, the low-cost commercial platform, recorded five essential function failures across the suspension and the driveline after the failure review board reclassified one driveline failure as a test-rig fault. Its demonstrated mission reliability is 0.96, above the 0.95 threshold.</w:t>
      </w:r>
    </w:p>
    <w:bookmarkEnd w:id="13"/>
    <w:bookmarkStart w:id="14" w:name="summary"/>
    <w:p>
      <w:pPr>
        <w:pStyle w:val="Heading2"/>
      </w:pPr>
      <w:r>
        <w:t xml:space="preserve">3.4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Mission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</w:tr>
    </w:tbl>
    <w:bookmarkEnd w:id="14"/>
    <w:bookmarkEnd w:id="15"/>
    <w:bookmarkStart w:id="16" w:name="limitations"/>
    <w:p>
      <w:pPr>
        <w:pStyle w:val="Heading1"/>
      </w:pPr>
      <w:r>
        <w:t xml:space="preserve">4 Limitations</w:t>
      </w:r>
    </w:p>
    <w:p>
      <w:pPr>
        <w:pStyle w:val="FirstParagraph"/>
      </w:pPr>
      <w:r>
        <w:t xml:space="preserve">Phase 1 articles are pre-production builds. Growth estimates assume the corrective actions identified during the test are carried into the production configuration.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Reliability growth test report, phase 1, revision 3 (synthetic)</dc:title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