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ruajiygxfps" w:id="0"/>
      <w:bookmarkEnd w:id="0"/>
      <w:r w:rsidDel="00000000" w:rsidR="00000000" w:rsidRPr="00000000">
        <w:rPr>
          <w:rtl w:val="0"/>
        </w:rPr>
        <w:t xml:space="preserve">F2 - Módulo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Estudo de diagramas Entidade-Relacionamento e sua adaptação ao desenho de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modelos de base de dados.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É necessário informatizar uma empresa que processa encomendas.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Considera que: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 Um Cliente é caracterizado por: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 número, que o identifica unicamente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 nome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morada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 localidade que inclui o código postal e a localidade propriamente dita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- telefone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- O Cliente faz uma encomenda que é identificada pelo ano e pelo número;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- Deve indicar-se a data em que foi feita a encomenda;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Uma encomenda pode contemplar vários artigos em diferentes quantidades, referentes ao mesmo Cliente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- Cada artigo é caracterizado pela sua descrição e por um preço unitário.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a) Crie o diagrama E-R relativo ao sistema proposto.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b) Defina as tabelas, chaves e tipos de dados relativos à base de dados que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proporia para suporte da informação pretendida.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2 - Desenhe o diagrama de Entidade-relacionamento (E-R) e modele a respetiva base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 dados, para as seguintes situações: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a) Uma cadeia de lojas pretende armazenar informação sobre cada loja 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individual e sobre os fornecedores a que cada loja compra produtos. 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loja pode comprar produtos a vários fornecedores e cada 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fornecedor pode fornecer diversas lojas.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b) Uma empresa de pintura de construção civil pretende ter uma base de dados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com os pintores existentes no mercado filiados no Sindicato dos Pintores da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Região Centro e sobre as casas que estão atualmente a ser pintadas pela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empresa. Cada pintor pinta apenas uma casa de cada vez, mas vários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pintores podem ser designados para pintar a mesma casa. Só interessa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considerar as casas que estão a ser pintadas.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c) Uma base de dados de uma oficina contém informação sobre mecânicos e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sobre automóveis. Cada mecânico pode trabalhar em vários carros, mas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cada carro é atribuído apenas a um mecânico.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