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rFonts w:ascii="Calibri" w:cs="Calibri" w:eastAsia="Calibri" w:hAnsi="Calibri"/>
          <w:b/>
          <w:bCs/>
          <w:color w:val="0E5C54"/>
          <w:sz w:val="32"/>
          <w:szCs w:val="32"/>
        </w:rPr>
        <w:t xml:space="preserve">Regulamento de Registo e Inspeção de Veículos</w:t>
      </w:r>
    </w:p>
    <w:p>
      <w:pPr>
        <w:pBdr>
          <w:bottom w:val="single" w:color="D8D2C8" w:sz="6" w:space="8"/>
        </w:pBdr>
        <w:spacing w:after="260"/>
      </w:pPr>
      <w:r>
        <w:rPr>
          <w:rFonts w:ascii="Calibri" w:cs="Calibri" w:eastAsia="Calibri" w:hAnsi="Calibri"/>
          <w:color w:val="6A7671"/>
          <w:sz w:val="19"/>
          <w:szCs w:val="19"/>
        </w:rPr>
        <w:t xml:space="preserve">Timorgiara Neto, Unipessoal, Lda  ·  Bidau Toko-Baru, Cristo Rei, Díli, Timor-Leste  ·  +670 74192857  ·  +670 75684566  ·  Versão de 14 de Setembro de 2026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1.º  Objeto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presente Regulamento fixa as condições que um veículo deve reunir para ser utilizado no transporte de passageiros angariados através da aplicação TimorgianaRide, bem como as regras de registo, inspeção e substituição desse veículo.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2.º  Veículos admitidos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São admitidos dois tipos de veículo: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300"/>
        <w:gridCol w:w="3300"/>
      </w:tblGrid>
      <w:tr>
        <w:trPr>
          <w:tblHeader/>
        </w:trPr>
        <w:tc>
          <w:tcPr>
            <w:tcW w:type="dxa" w:w="29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3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Designação na aplicação</w:t>
            </w:r>
          </w:p>
        </w:tc>
        <w:tc>
          <w:tcPr>
            <w:tcW w:type="dxa" w:w="33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Lotação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Automóvel ligeiro de passageiros</w:t>
            </w:r>
          </w:p>
        </w:tc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Carro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Declarada pelo motorista, sem contar com o condutor</w:t>
            </w:r>
          </w:p>
        </w:tc>
      </w:tr>
      <w:tr>
        <w:tc>
          <w:tcPr>
            <w:tcW w:type="dxa" w:w="29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Motociclo ou ciclomotor</w:t>
            </w:r>
          </w:p>
        </w:tc>
        <w:tc>
          <w:tcPr>
            <w:tcW w:type="dxa" w:w="23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Motorizada</w:t>
            </w:r>
          </w:p>
        </w:tc>
        <w:tc>
          <w:tcPr>
            <w:tcW w:type="dxa" w:w="33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Um passageiro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lotação declarada é vinculativa: um pedido de viagem para mais pessoas do que o veículo comporta não é apresentado ao motorista.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3.º  Registo do veículo na aplicação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motorista declara, no ato de candidatura ou quando passe a utilizar outro veículo: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Tipo de veículo — carro ou motorizada;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Marca e modelo;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Matrícula;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Cor, escolhida de entre as cores previstas na aplicação;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Tratando-se de carro, o número de lugares para passageiros.</w:t>
      </w:r>
    </w:p>
    <w:p>
      <w:pPr>
        <w:pBdr>
          <w:left w:val="single" w:color="0E5C54" w:sz="18" w:space="8"/>
        </w:pBdr>
        <w:shd w:fill="F3F0EA" w:val="clear"/>
        <w:spacing w:after="140" w:before="140" w:line="276"/>
        <w:ind w:left="160" w:right="160"/>
      </w:pPr>
      <w:r>
        <w:rPr>
          <w:rFonts w:ascii="Calibri" w:cs="Calibri" w:eastAsia="Calibri" w:hAnsi="Calibri"/>
          <w:i/>
          <w:iCs/>
          <w:color w:val="3A4441"/>
          <w:sz w:val="20"/>
          <w:szCs w:val="20"/>
        </w:rPr>
        <w:t xml:space="preserve">A cor é registada por código e não por palavra. O passageiro lê «Branco» em português e o motorista lê «Mutin» em tétum — a mesma cor, na língua de cada um. É por ela que o passageiro identifica o veículo na rua.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4.º  Cartão de registo do veículo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É obrigatória a submissão do cartão de registo do veículo, com indicação da respetiva data de validade.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matrícula constante do cartão deve corresponder à matrícula declarada na aplicação. A divergência entre ambas determina a recusa da candidatura ou a suspensão da conta até esclarecimento.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5.º  Cartão de inspeção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É obrigatória a submissão do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Cartão de Inspeção (Kartaun Inspesaun)</w:t>
      </w:r>
      <w:r>
        <w:rPr>
          <w:rFonts w:ascii="Calibri" w:cs="Calibri" w:eastAsia="Calibri" w:hAnsi="Calibri"/>
          <w:sz w:val="21"/>
          <w:szCs w:val="21"/>
        </w:rPr>
        <w:t xml:space="preserve">, emitido pela Direção Nacional de Transportes Terrestres ao abrigo do Decreto-Lei n.º 6/2003, artigo 110.º.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data a declarar é a que consta da linha «Valido Inspesaun» do cartão, e não a data de inspeção, a data de compra ou a data de registo, que também nele figuram.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 cartão tem, em regra, a validade de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um ano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6.º  Renovação da inspeção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 próprio cartão determina que a renovação seja requerida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 partir dos dez dias anteriores</w:t>
      </w:r>
      <w:r>
        <w:rPr>
          <w:rFonts w:ascii="Calibri" w:cs="Calibri" w:eastAsia="Calibri" w:hAnsi="Calibri"/>
          <w:sz w:val="21"/>
          <w:szCs w:val="21"/>
        </w:rPr>
        <w:t xml:space="preserve"> ao termo do prazo, advertindo que a circulação com o cartão fora de prazo é sancionada com multa agravada.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 aplicação avisa o motorista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quinze dias</w:t>
      </w:r>
      <w:r>
        <w:rPr>
          <w:rFonts w:ascii="Calibri" w:cs="Calibri" w:eastAsia="Calibri" w:hAnsi="Calibri"/>
          <w:sz w:val="21"/>
          <w:szCs w:val="21"/>
        </w:rPr>
        <w:t xml:space="preserve"> antes, indicando quantos dias faltam, e recorda a partir de que data pode dirigir-se à Direção Nacional de Transportes Terrestres. O aviso é dado com antecedência suficiente para reparar nele, e não tão cedo que provoque uma deslocação inútil.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7.º  Efeitos da caducidade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cartão de inspeção caducado, o cartão de registo caducado ou a carta de condução caducada determinam a impossibilidade automática de entrar ao serviço.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 documento é válido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até ao dia nele inscrito, inclusive</w:t>
      </w:r>
      <w:r>
        <w:rPr>
          <w:rFonts w:ascii="Calibri" w:cs="Calibri" w:eastAsia="Calibri" w:hAnsi="Calibri"/>
          <w:sz w:val="21"/>
          <w:szCs w:val="21"/>
        </w:rPr>
        <w:t xml:space="preserve">. A contagem faz-se pelo dia em Díli.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conta é reativada automaticamente com a submissão do documento renovado, sem necessidade de qualquer ato da Timorgiara Neto, Unipessoal, Lda.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8.º  Estado e conservação do veículo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Constitui obrigação permanente do motorista manter o veículo em condições de segurança e asseio, designadamente: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Travões, pneus, luzes, espelhos e buzina em estado de funcionamento;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Cintos de segurança operacionais em todos os lugares declarados, tratando-se de carro;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Capacete disponível para o passageiro, tratando-se de motorizada;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Habitáculo limpo e sem odores que incomodem o passageiro;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Ausência de danos que comprometam a segurança da circulação.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9.º  Seguro obrigatório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 seguro de responsabilidade civil automóvel é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obrigatório para todos os veículos motorizados</w:t>
      </w:r>
      <w:r>
        <w:rPr>
          <w:rFonts w:ascii="Calibri" w:cs="Calibri" w:eastAsia="Calibri" w:hAnsi="Calibri"/>
          <w:sz w:val="21"/>
          <w:szCs w:val="21"/>
        </w:rPr>
        <w:t xml:space="preserve"> que circulem em Timor-Leste, incluindo os de matrícula estrangeira que entrem no território, nos termos da Instrução Pública n.º 07/2010, aprovada pela Resolução do Conselho n.º 12/2010, de 17 de Dezembro (artigo 3.º, n.º 1).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 mesmo diploma fixa (artigo 7.º, n.º 3) os limites máximos de responsabilidade da seguradora: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100"/>
      </w:tblGrid>
      <w:tr>
        <w:trPr>
          <w:tblHeader/>
        </w:trPr>
        <w:tc>
          <w:tcPr>
            <w:tcW w:type="dxa" w:w="54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Categoria do veículo</w:t>
            </w:r>
          </w:p>
        </w:tc>
        <w:tc>
          <w:tcPr>
            <w:tcW w:type="dxa" w:w="31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Limite por sinistro</w:t>
            </w:r>
          </w:p>
        </w:tc>
      </w:tr>
      <w:tr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Transporte de passageiros e de carga</w:t>
            </w:r>
          </w:p>
        </w:tc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USD 20.000</w:t>
            </w:r>
          </w:p>
        </w:tc>
      </w:tr>
      <w:tr>
        <w:tc>
          <w:tcPr>
            <w:tcW w:type="dxa" w:w="54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Restantes veículos motorizados</w:t>
            </w:r>
          </w:p>
        </w:tc>
        <w:tc>
          <w:tcPr>
            <w:tcW w:type="dxa" w:w="31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USD 6.000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veículo afeto ao transporte de passageiros angariados através da aplicação insere-se na primeira categoria.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Compete exclusivamente ao motorista, ou ao proprietário do veículo, contratar e manter em vigor a apólice junto de seguradora licenciada pelo Banco Central de Timor-Leste, e confirmar junto dela que a cobertura abrange a atividade efetivamente exercida.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 Timorgiara Neto, Unipessoal, Lda não é seguradora, não presta cobertura de qualquer natureza, não exige a apresentação da apólice e não responde por sinistros ocorridos durante a viagem.</w:t>
      </w:r>
    </w:p>
    <w:p>
      <w:pPr>
        <w:pBdr>
          <w:left w:val="single" w:color="0E5C54" w:sz="18" w:space="8"/>
        </w:pBdr>
        <w:shd w:fill="F3F0EA" w:val="clear"/>
        <w:spacing w:after="140" w:before="140" w:line="276"/>
        <w:ind w:left="160" w:right="160"/>
      </w:pPr>
      <w:r>
        <w:rPr>
          <w:rFonts w:ascii="Calibri" w:cs="Calibri" w:eastAsia="Calibri" w:hAnsi="Calibri"/>
          <w:i/>
          <w:iCs/>
          <w:color w:val="3A4441"/>
          <w:sz w:val="20"/>
          <w:szCs w:val="20"/>
        </w:rPr>
        <w:t xml:space="preserve">A ausência de seguro não elimina a responsabilidade — elimina quem a suporta. Quem circule sem apólice responde com o seu próprio património, sem qualquer limite, pelos danos que cause. O tecto de USD 20.000 protege quem está segurado; quem não está fica exposto ao valor integral do dano, seja ele qual for.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10.º  Alteração ou substituição do veículo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substituição do veículo obriga à atualização imediata dos dados na aplicação e à submissão do novo cartão de registo e do novo cartão de inspeção.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É proibido realizar viagens em veículo diferente do registado na aplicação.</w:t>
      </w:r>
      <w:r>
        <w:rPr>
          <w:rFonts w:ascii="Calibri" w:cs="Calibri" w:eastAsia="Calibri" w:hAnsi="Calibri"/>
          <w:sz w:val="21"/>
          <w:szCs w:val="21"/>
        </w:rPr>
        <w:t xml:space="preserve"> O passageiro identifica o veículo pela marca, pelo modelo, pela cor e pela matrícula que a aplicação lhe mostra; um veículo diferente do anunciado põe em causa a segurança de quem espera na rua.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11.º  Veículo de terceiro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motorista que conduza veículo de que não seja proprietário deve dispor de autorização escrita do proprietário para o afetar ao transporte remunerado de passageiros, nos termos do modelo de declaração disponibilizado pela Timorgiara Neto, Unipessoal, Lda.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Timorgiara Neto, Unipessoal, Lda pode solicitar a exibição dessa autorização a qualquer momento.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12.º  Verificações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aplicação verifica automaticamente, no momento da apreciação da candidatura e sempre que um documento seja substituído: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A presença dos documentos exigidos;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A existência de data de validade nos documentos que a exijam;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A não caducidade de qualquer documento;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A plausibilidade da data declarada, assinalando as que se afastem manifestamente do prazo normal do documento;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A proximidade do termo do prazo, nos trinta dias seguintes.</w:t>
      </w:r>
    </w:p>
    <w:p>
      <w:pPr>
        <w:pBdr>
          <w:left w:val="single" w:color="0E5C54" w:sz="18" w:space="8"/>
        </w:pBdr>
        <w:shd w:fill="F3F0EA" w:val="clear"/>
        <w:spacing w:after="140" w:before="140" w:line="276"/>
        <w:ind w:left="160" w:right="160"/>
      </w:pPr>
      <w:r>
        <w:rPr>
          <w:rFonts w:ascii="Calibri" w:cs="Calibri" w:eastAsia="Calibri" w:hAnsi="Calibri"/>
          <w:i/>
          <w:iCs/>
          <w:color w:val="3A4441"/>
          <w:sz w:val="20"/>
          <w:szCs w:val="20"/>
        </w:rPr>
        <w:t xml:space="preserve">A verificação de plausibilidade não recusa nada: assinala. Um cartão de inspeção declarado como válido por três anos não é um documento válido — é um lapso ou uma invenção —, e o que a aplicação faz é chamar a atenção de quem decide para essa fotografia em concreto.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13.º  Entrada em vigor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presente Regulamento entra em vigor em 14 de Setembro de 2026.</w:t>
      </w:r>
    </w:p>
    <w:sectPr>
      <w:headerReference w:type="default" r:id="rId7"/>
      <w:footerReference w:type="default" r:id="rId8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8" w:sz="4" w:space="6"/>
      </w:pBdr>
      <w:spacing w:before="60"/>
      <w:jc w:val="center"/>
    </w:pPr>
    <w:r>
      <w:rPr>
        <w:rFonts w:ascii="Calibri" w:cs="Calibri" w:eastAsia="Calibri" w:hAnsi="Calibri"/>
        <w:color w:val="6A7671"/>
        <w:sz w:val="15"/>
        <w:szCs w:val="15"/>
      </w:rPr>
      <w:t xml:space="preserve">Regulamento de Registo e Inspeção de Veículos  ·  14 de Setembro de 2026  ·  página </w:t>
    </w:r>
    <w:r>
      <w:rPr>
        <w:rFonts w:ascii="Calibri" w:cs="Calibri" w:eastAsia="Calibri" w:hAnsi="Calibri"/>
        <w:color w:val="6A7671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A7671"/>
        <w:sz w:val="15"/>
        <w:szCs w:val="15"/>
      </w:rPr>
      <w:t xml:space="preserve"> de </w:t>
    </w:r>
    <w:r>
      <w:rPr>
        <w:rFonts w:ascii="Calibri" w:cs="Calibri" w:eastAsia="Calibri" w:hAnsi="Calibri"/>
        <w:color w:val="6A7671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color w:val="6A7671"/>
        <w:sz w:val="16"/>
        <w:szCs w:val="16"/>
      </w:rPr>
      <w:t xml:space="preserve">TimorgianaRide  ·  Timorgiara Neto, Unipessoal, Lda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–"/>
      <w:lvlJc w:val="left"/>
      <w:pPr>
        <w:ind w:left="93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2026-10-07T10:06:20.093Z</dcterms:created>
  <dcterms:modified xsi:type="dcterms:W3CDTF">2026-10-07T10:06:20.093Z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