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rFonts w:ascii="Calibri" w:cs="Calibri" w:eastAsia="Calibri" w:hAnsi="Calibri"/>
          <w:b/>
          <w:bCs/>
          <w:color w:val="0E5C54"/>
          <w:sz w:val="32"/>
          <w:szCs w:val="32"/>
        </w:rPr>
        <w:t xml:space="preserve">Checklist Documental para Aprovação na Aplicação</w:t>
      </w:r>
    </w:p>
    <w:p>
      <w:pPr>
        <w:pBdr>
          <w:bottom w:val="single" w:color="D8D2C8" w:sz="6" w:space="8"/>
        </w:pBdr>
        <w:spacing w:after="260"/>
      </w:pPr>
      <w:r>
        <w:rPr>
          <w:rFonts w:ascii="Calibri" w:cs="Calibri" w:eastAsia="Calibri" w:hAnsi="Calibri"/>
          <w:color w:val="6A7671"/>
          <w:sz w:val="19"/>
          <w:szCs w:val="19"/>
        </w:rPr>
        <w:t xml:space="preserve">Timorgiara Neto, Unipessoal, Lda  ·  Instrumento de trabalho  ·  Versão de 14 de Setembro de 2026</w:t>
      </w:r>
    </w:p>
    <w:p>
      <w:pPr>
        <w:pBdr>
          <w:left w:val="single" w:color="0E5C54" w:sz="18" w:space="8"/>
        </w:pBdr>
        <w:shd w:fill="F3F0EA" w:val="clear"/>
        <w:spacing w:after="140" w:before="140" w:line="276"/>
        <w:ind w:left="160" w:right="160"/>
      </w:pPr>
      <w:r>
        <w:rPr>
          <w:rFonts w:ascii="Calibri" w:cs="Calibri" w:eastAsia="Calibri" w:hAnsi="Calibri"/>
          <w:i/>
          <w:iCs/>
          <w:color w:val="3A4441"/>
          <w:sz w:val="20"/>
          <w:szCs w:val="20"/>
        </w:rPr>
        <w:t xml:space="preserve">NOTA PRÉVIA, PARA QUE ESTE DOCUMENTO NÃO DESCREVA O QUE NÃO EXISTE. Hoje a aplicação NÃO aprova ninguém sozinha. Ela verifica automaticamente o que é objectivo e apresenta o resultado a quem decide, no painel. A decisão final é de uma pessoa. Este documento separa, por isso, o que a máquina verifica do que continua a exigir olhos humanos. A Timorgiara Neto, Unipessoal, Lda decidiu manter a decisão humana e não adotar a aprovação automática — ver o n.º 5.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1.  Os seis documentos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2700"/>
      </w:tblGrid>
      <w:tr>
        <w:trPr>
          <w:tblHeader/>
        </w:trPr>
        <w:tc>
          <w:tcPr>
            <w:tcW w:type="dxa" w:w="600"/>
            <w:shd w:fill="0E5C5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200"/>
            <w:shd w:fill="0E5C5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Documento</w:t>
            </w:r>
          </w:p>
        </w:tc>
        <w:tc>
          <w:tcPr>
            <w:tcW w:type="dxa" w:w="2700"/>
            <w:shd w:fill="0E5C5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 de validade</w:t>
            </w:r>
          </w:p>
        </w:tc>
      </w:tr>
      <w:tr>
        <w:tc>
          <w:tcPr>
            <w:tcW w:type="dxa" w:w="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1</w:t>
            </w:r>
          </w:p>
        </w:tc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Fotografia do motorista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Não aplicável</w:t>
            </w:r>
          </w:p>
        </w:tc>
      </w:tr>
      <w:tr>
        <w:tc>
          <w:tcPr>
            <w:tcW w:type="dxa" w:w="6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2</w:t>
            </w:r>
          </w:p>
        </w:tc>
        <w:tc>
          <w:tcPr>
            <w:tcW w:type="dxa" w:w="52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Documento de identificação</w:t>
            </w:r>
          </w:p>
        </w:tc>
        <w:tc>
          <w:tcPr>
            <w:tcW w:type="dxa" w:w="27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Não exigida</w:t>
            </w:r>
          </w:p>
        </w:tc>
      </w:tr>
      <w:tr>
        <w:tc>
          <w:tcPr>
            <w:tcW w:type="dxa" w:w="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3</w:t>
            </w:r>
          </w:p>
        </w:tc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Carta de condução (frente)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Obrigatória</w:t>
            </w:r>
          </w:p>
        </w:tc>
      </w:tr>
      <w:tr>
        <w:tc>
          <w:tcPr>
            <w:tcW w:type="dxa" w:w="6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4</w:t>
            </w:r>
          </w:p>
        </w:tc>
        <w:tc>
          <w:tcPr>
            <w:tcW w:type="dxa" w:w="52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Carta de condução (verso)</w:t>
            </w:r>
          </w:p>
        </w:tc>
        <w:tc>
          <w:tcPr>
            <w:tcW w:type="dxa" w:w="27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Não exigida — a validade consta da frente</w:t>
            </w:r>
          </w:p>
        </w:tc>
      </w:tr>
      <w:tr>
        <w:tc>
          <w:tcPr>
            <w:tcW w:type="dxa" w:w="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5</w:t>
            </w:r>
          </w:p>
        </w:tc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Cartão de registo do veículo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Obrigatória</w:t>
            </w:r>
          </w:p>
        </w:tc>
      </w:tr>
      <w:tr>
        <w:tc>
          <w:tcPr>
            <w:tcW w:type="dxa" w:w="6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6</w:t>
            </w:r>
          </w:p>
        </w:tc>
        <w:tc>
          <w:tcPr>
            <w:tcW w:type="dxa" w:w="52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Cartão de inspeção (Kartaun Inspesaun)</w:t>
            </w:r>
          </w:p>
        </w:tc>
        <w:tc>
          <w:tcPr>
            <w:tcW w:type="dxa" w:w="27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Obrigatória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2.  Verificações automáticas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São feitas pela aplicação, sem intervenção humana, no momento da candidatura e sempre que um documento seja substituído.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1900"/>
      </w:tblGrid>
      <w:tr>
        <w:trPr>
          <w:tblHeader/>
        </w:trPr>
        <w:tc>
          <w:tcPr>
            <w:tcW w:type="dxa" w:w="2200"/>
            <w:shd w:fill="0E5C5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Verificação</w:t>
            </w:r>
          </w:p>
        </w:tc>
        <w:tc>
          <w:tcPr>
            <w:tcW w:type="dxa" w:w="4400"/>
            <w:shd w:fill="0E5C5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Regra</w:t>
            </w:r>
          </w:p>
        </w:tc>
        <w:tc>
          <w:tcPr>
            <w:tcW w:type="dxa" w:w="1900"/>
            <w:shd w:fill="0E5C5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 falhar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Presença</w:t>
            </w:r>
          </w:p>
        </w:tc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Estão submetidos os seis documentos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Bloqueia</w:t>
            </w:r>
          </w:p>
        </w:tc>
      </w:tr>
      <w:tr>
        <w:tc>
          <w:tcPr>
            <w:tcW w:type="dxa" w:w="22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Data declarada</w:t>
            </w:r>
          </w:p>
        </w:tc>
        <w:tc>
          <w:tcPr>
            <w:tcW w:type="dxa" w:w="44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Carta, registo e inspeção têm data</w:t>
            </w:r>
          </w:p>
        </w:tc>
        <w:tc>
          <w:tcPr>
            <w:tcW w:type="dxa" w:w="19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Bloqueia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Não caducado</w:t>
            </w:r>
          </w:p>
        </w:tc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Nenhuma data é anterior ao dia de hoje em Díli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Bloqueia</w:t>
            </w:r>
          </w:p>
        </w:tc>
      </w:tr>
      <w:tr>
        <w:tc>
          <w:tcPr>
            <w:tcW w:type="dxa" w:w="22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Data plausível</w:t>
            </w:r>
          </w:p>
        </w:tc>
        <w:tc>
          <w:tcPr>
            <w:tcW w:type="dxa" w:w="44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Inspeção até 400 dias; carta e registo até 15 anos</w:t>
            </w:r>
          </w:p>
        </w:tc>
        <w:tc>
          <w:tcPr>
            <w:tcW w:type="dxa" w:w="19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Assinala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Prazo próximo</w:t>
            </w:r>
          </w:p>
        </w:tc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Algum documento caduca nos próximos 30 dias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Assinala</w:t>
            </w:r>
          </w:p>
        </w:tc>
      </w:tr>
      <w:tr>
        <w:tc>
          <w:tcPr>
            <w:tcW w:type="dxa" w:w="22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Substituição por confirmar</w:t>
            </w:r>
          </w:p>
        </w:tc>
        <w:tc>
          <w:tcPr>
            <w:tcW w:type="dxa" w:w="44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Documento trocado após aprovação, ainda não confirmado</w:t>
            </w:r>
          </w:p>
        </w:tc>
        <w:tc>
          <w:tcPr>
            <w:tcW w:type="dxa" w:w="19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Assinala</w:t>
            </w:r>
          </w:p>
        </w:tc>
      </w:tr>
    </w:tbl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Bloqueia</w:t>
      </w:r>
      <w:r>
        <w:rPr>
          <w:rFonts w:ascii="Calibri" w:cs="Calibri" w:eastAsia="Calibri" w:hAnsi="Calibri"/>
          <w:sz w:val="21"/>
          <w:szCs w:val="21"/>
        </w:rPr>
        <w:t xml:space="preserve"> significa que a conta não pode entrar ao serviço enquanto a situação se mantiver.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Assinala</w:t>
      </w:r>
      <w:r>
        <w:rPr>
          <w:rFonts w:ascii="Calibri" w:cs="Calibri" w:eastAsia="Calibri" w:hAnsi="Calibri"/>
          <w:sz w:val="21"/>
          <w:szCs w:val="21"/>
        </w:rPr>
        <w:t xml:space="preserve"> significa que a aplicação chama a atenção de quem decide, sem impedir nada.</w:t>
      </w:r>
    </w:p>
    <w:p>
      <w:pPr>
        <w:pBdr>
          <w:left w:val="single" w:color="0E5C54" w:sz="18" w:space="8"/>
        </w:pBdr>
        <w:shd w:fill="F3F0EA" w:val="clear"/>
        <w:spacing w:after="140" w:before="140" w:line="276"/>
        <w:ind w:left="160" w:right="160"/>
      </w:pPr>
      <w:r>
        <w:rPr>
          <w:rFonts w:ascii="Calibri" w:cs="Calibri" w:eastAsia="Calibri" w:hAnsi="Calibri"/>
          <w:i/>
          <w:iCs/>
          <w:color w:val="3A4441"/>
          <w:sz w:val="20"/>
          <w:szCs w:val="20"/>
        </w:rPr>
        <w:t xml:space="preserve">A verificação de plausibilidade é a que mais trabalho poupa. As datas são escritas pelo próprio motorista a olhar para o cartão, e nada o impede de escrever 2035. A aplicação não sabe ler o cartão, mas sabe que um Kartaun Inspesaun vale um ano: uma validade a três anos de distância não é um documento válido, é um lapso ou uma invenção. Não recusa — levanta o dedo, para que se olhe com atenção para aquela fotografia em vez de olhar para as seis com a mesma atenção.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3.  Verificações humanas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Não são automatizáveis e continuam a exigir que alguém abra a fotografia. No painel, cada documento amplia-se e pode ser rodado, porque os cartões são fotografados ao alto e aparecem deitados.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0"/>
        <w:gridCol w:w="2900"/>
      </w:tblGrid>
      <w:tr>
        <w:trPr>
          <w:tblHeader/>
        </w:trPr>
        <w:tc>
          <w:tcPr>
            <w:tcW w:type="dxa" w:w="500"/>
            <w:shd w:fill="0E5C5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100"/>
            <w:shd w:fill="0E5C5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 confirmar</w:t>
            </w:r>
          </w:p>
        </w:tc>
        <w:tc>
          <w:tcPr>
            <w:tcW w:type="dxa" w:w="2900"/>
            <w:shd w:fill="0E5C5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Onde se confirma</w:t>
            </w:r>
          </w:p>
        </w:tc>
      </w:tr>
      <w:tr>
        <w:tc>
          <w:tcPr>
            <w:tcW w:type="dxa" w:w="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a</w:t>
            </w:r>
          </w:p>
        </w:tc>
        <w:tc>
          <w:tcPr>
            <w:tcW w:type="dxa" w:w="5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A fotografia lê-se: o cartão está focado, completo e sem reflexos</w:t>
            </w:r>
          </w:p>
        </w:tc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Ampliar cada documento</w:t>
            </w:r>
          </w:p>
        </w:tc>
      </w:tr>
      <w:tr>
        <w:tc>
          <w:tcPr>
            <w:tcW w:type="dxa" w:w="5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b</w:t>
            </w:r>
          </w:p>
        </w:tc>
        <w:tc>
          <w:tcPr>
            <w:tcW w:type="dxa" w:w="51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O nome do documento de identificação é o nome da conta</w:t>
            </w:r>
          </w:p>
        </w:tc>
        <w:tc>
          <w:tcPr>
            <w:tcW w:type="dxa" w:w="29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Documento 2 e nome no painel</w:t>
            </w:r>
          </w:p>
        </w:tc>
      </w:tr>
      <w:tr>
        <w:tc>
          <w:tcPr>
            <w:tcW w:type="dxa" w:w="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c</w:t>
            </w:r>
          </w:p>
        </w:tc>
        <w:tc>
          <w:tcPr>
            <w:tcW w:type="dxa" w:w="5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O rosto da fotografia é o rosto da carta de condução</w:t>
            </w:r>
          </w:p>
        </w:tc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Documentos 1 e 3</w:t>
            </w:r>
          </w:p>
        </w:tc>
      </w:tr>
      <w:tr>
        <w:tc>
          <w:tcPr>
            <w:tcW w:type="dxa" w:w="5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d</w:t>
            </w:r>
          </w:p>
        </w:tc>
        <w:tc>
          <w:tcPr>
            <w:tcW w:type="dxa" w:w="51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A data escrita corresponde à data impressa no cartão</w:t>
            </w:r>
          </w:p>
        </w:tc>
        <w:tc>
          <w:tcPr>
            <w:tcW w:type="dxa" w:w="29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Comparar com a data no painel</w:t>
            </w:r>
          </w:p>
        </w:tc>
      </w:tr>
      <w:tr>
        <w:tc>
          <w:tcPr>
            <w:tcW w:type="dxa" w:w="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e</w:t>
            </w:r>
          </w:p>
        </w:tc>
        <w:tc>
          <w:tcPr>
            <w:tcW w:type="dxa" w:w="5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A matrícula do cartão de registo é a matrícula declarada</w:t>
            </w:r>
          </w:p>
        </w:tc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Documento 5 e dados do veículo</w:t>
            </w:r>
          </w:p>
        </w:tc>
      </w:tr>
      <w:tr>
        <w:tc>
          <w:tcPr>
            <w:tcW w:type="dxa" w:w="5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f</w:t>
            </w:r>
          </w:p>
        </w:tc>
        <w:tc>
          <w:tcPr>
            <w:tcW w:type="dxa" w:w="51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O cartão de inspeção é do mesmo veículo do cartão de registo</w:t>
            </w:r>
          </w:p>
        </w:tc>
        <w:tc>
          <w:tcPr>
            <w:tcW w:type="dxa" w:w="29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Chassis ou matrícula nos dois</w:t>
            </w:r>
          </w:p>
        </w:tc>
      </w:tr>
      <w:tr>
        <w:tc>
          <w:tcPr>
            <w:tcW w:type="dxa" w:w="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g</w:t>
            </w:r>
          </w:p>
        </w:tc>
        <w:tc>
          <w:tcPr>
            <w:tcW w:type="dxa" w:w="5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A categoria da carta permite conduzir o veículo declarado</w:t>
            </w:r>
          </w:p>
        </w:tc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Documento 4 (verso); o painel indica por baixo o veículo declarado</w:t>
            </w:r>
          </w:p>
        </w:tc>
      </w:tr>
    </w:tbl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 alínea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</w:t>
      </w:r>
      <w:r>
        <w:rPr>
          <w:rFonts w:ascii="Calibri" w:cs="Calibri" w:eastAsia="Calibri" w:hAnsi="Calibri"/>
          <w:sz w:val="21"/>
          <w:szCs w:val="21"/>
        </w:rPr>
        <w:t xml:space="preserve"> é a que justifica o desenho do painel: a data e a fotografia aparecem lado a lado, porque só se pode confrontar o que se vê ao mesmo tempo.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4.  Regra de decisão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100"/>
      </w:tblGrid>
      <w:tr>
        <w:trPr>
          <w:tblHeader/>
        </w:trPr>
        <w:tc>
          <w:tcPr>
            <w:tcW w:type="dxa" w:w="4400"/>
            <w:shd w:fill="0E5C5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Situação</w:t>
            </w:r>
          </w:p>
        </w:tc>
        <w:tc>
          <w:tcPr>
            <w:tcW w:type="dxa" w:w="4100"/>
            <w:shd w:fill="0E5C5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Decisão</w:t>
            </w:r>
          </w:p>
        </w:tc>
      </w:tr>
      <w:tr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Alguma verificação automática bloqueia</w:t>
            </w:r>
          </w:p>
        </w:tc>
        <w:tc>
          <w:tcPr>
            <w:tcW w:type="dxa" w:w="4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Não aprovar. Recusar com indicação do que falta</w:t>
            </w:r>
          </w:p>
        </w:tc>
      </w:tr>
      <w:tr>
        <w:tc>
          <w:tcPr>
            <w:tcW w:type="dxa" w:w="44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Todas passam e nenhuma alínea humana levanta dúvida</w:t>
            </w:r>
          </w:p>
        </w:tc>
        <w:tc>
          <w:tcPr>
            <w:tcW w:type="dxa" w:w="41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Aprovar</w:t>
            </w:r>
          </w:p>
        </w:tc>
      </w:tr>
      <w:tr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Alguma verificação assinala, sem dúvida humana</w:t>
            </w:r>
          </w:p>
        </w:tc>
        <w:tc>
          <w:tcPr>
            <w:tcW w:type="dxa" w:w="4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Aprovar, e avisar o motorista do prazo próximo</w:t>
            </w:r>
          </w:p>
        </w:tc>
      </w:tr>
      <w:tr>
        <w:tc>
          <w:tcPr>
            <w:tcW w:type="dxa" w:w="44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Alguma alínea humana levanta dúvida</w:t>
            </w:r>
          </w:p>
        </w:tc>
        <w:tc>
          <w:tcPr>
            <w:tcW w:type="dxa" w:w="41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Recusar com motivo, para que corrija e volte a submeter</w:t>
            </w:r>
          </w:p>
        </w:tc>
      </w:tr>
    </w:tbl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 recusa não fecha a porta: o motorista recusado continua a ver a lista de documentos, substitui o que motivou a recusa e submete de novo.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5.  A aprovação é sempre humana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 Timorgiara Neto, Unipessoal, Lda decidiu não adotar a aprovação automática.</w:t>
      </w:r>
      <w:r>
        <w:rPr>
          <w:rFonts w:ascii="Calibri" w:cs="Calibri" w:eastAsia="Calibri" w:hAnsi="Calibri"/>
          <w:sz w:val="21"/>
          <w:szCs w:val="21"/>
        </w:rPr>
        <w:t xml:space="preserve"> A decisão de admitir um motorista é, e continuará a ser, tomada por uma pessoa.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 aplicação verifica o que é objetivo — presença dos documentos, existência e plausibilidade das datas, caducidade — e apresenta o resultado a quem decide. Não decide em lugar dele.</w:t>
      </w:r>
    </w:p>
    <w:p>
      <w:pPr>
        <w:pBdr>
          <w:left w:val="single" w:color="0E5C54" w:sz="18" w:space="8"/>
        </w:pBdr>
        <w:shd w:fill="F3F0EA" w:val="clear"/>
        <w:spacing w:after="140" w:before="140" w:line="276"/>
        <w:ind w:left="160" w:right="160"/>
      </w:pPr>
      <w:r>
        <w:rPr>
          <w:rFonts w:ascii="Calibri" w:cs="Calibri" w:eastAsia="Calibri" w:hAnsi="Calibri"/>
          <w:i/>
          <w:iCs/>
          <w:color w:val="3A4441"/>
          <w:sz w:val="20"/>
          <w:szCs w:val="20"/>
        </w:rPr>
        <w:t xml:space="preserve">A razão é simples e vale a pena ficar escrita. Nenhuma verificação automática distingue um cartão verdadeiro de uma boa fotocópia, nem confirma que o rosto da fotografia é o rosto da carta de condução. Aprovar sozinha pouparia tempo em troca de aceitar que um documento falso circulasse durante alguns dias — e quem paga esse tempo poupado é o passageiro que entra no veículo.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Em consequência, nenhuma conta de motorista fica ativa sem que os documentos tenham sido vistos por quem exerce funções de gestão da plataforma.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6.  Após a aprovação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Aprovada a conta, os documentos ficam fixados. A sua substituição obriga a indicar um dos quatro motivos previstos — caducou, perdeu-se, deteriorou-se, ou foi enviado o documento errado — e o documento novo fica assinalado como pendente de confirmação até ser verificado.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 documento substituído entra em vigor imediatamente, para que ninguém fique impedido de trabalhar à espera de revisão.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7.  Registo de acessos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Cada consulta aos documentos de um motorista fica registada, com identificação de quem consultou, de quem foi consultado e do momento.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 registo existe para responder a uma pergunta concreta, no dia em que alguém a faça: quem consultou os meus documentos?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8.  Folha de conferência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Para uso interno, quando a conferência seja feita fora da aplicação.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5400"/>
      </w:tblGrid>
      <w:tr>
        <w:trPr>
          <w:tblHeader/>
        </w:trPr>
        <w:tc>
          <w:tcPr>
            <w:tcW w:type="dxa" w:w="3100"/>
            <w:shd w:fill="0E5C5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Candidato</w:t>
            </w:r>
          </w:p>
        </w:tc>
        <w:tc>
          <w:tcPr>
            <w:tcW w:type="dxa" w:w="5400"/>
            <w:shd w:fill="0E5C5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Nome</w:t>
            </w:r>
          </w:p>
        </w:tc>
        <w:tc>
          <w:tcPr>
            <w:tcW w:type="dxa" w:w="5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________________________________________________________</w:t>
            </w:r>
          </w:p>
        </w:tc>
      </w:tr>
      <w:tr>
        <w:tc>
          <w:tcPr>
            <w:tcW w:type="dxa" w:w="31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Telemóvel</w:t>
            </w:r>
          </w:p>
        </w:tc>
        <w:tc>
          <w:tcPr>
            <w:tcW w:type="dxa" w:w="54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________________________________________________________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Veículo e matrícula</w:t>
            </w:r>
          </w:p>
        </w:tc>
        <w:tc>
          <w:tcPr>
            <w:tcW w:type="dxa" w:w="5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________________________________________________________</w:t>
            </w:r>
          </w:p>
        </w:tc>
      </w:tr>
      <w:tr>
        <w:tc>
          <w:tcPr>
            <w:tcW w:type="dxa" w:w="31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Verificações automáticas</w:t>
            </w:r>
          </w:p>
        </w:tc>
        <w:tc>
          <w:tcPr>
            <w:tcW w:type="dxa" w:w="54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☐ todas passaram      ☐ com sinal de aviso: ______________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a) Fotografias legíveis</w:t>
            </w:r>
          </w:p>
        </w:tc>
        <w:tc>
          <w:tcPr>
            <w:tcW w:type="dxa" w:w="5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☐ sim      ☐ não</w:t>
            </w:r>
          </w:p>
        </w:tc>
      </w:tr>
      <w:tr>
        <w:tc>
          <w:tcPr>
            <w:tcW w:type="dxa" w:w="31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b) Nome corresponde</w:t>
            </w:r>
          </w:p>
        </w:tc>
        <w:tc>
          <w:tcPr>
            <w:tcW w:type="dxa" w:w="54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☐ sim      ☐ não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c) Rosto corresponde</w:t>
            </w:r>
          </w:p>
        </w:tc>
        <w:tc>
          <w:tcPr>
            <w:tcW w:type="dxa" w:w="5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☐ sim      ☐ não</w:t>
            </w:r>
          </w:p>
        </w:tc>
      </w:tr>
      <w:tr>
        <w:tc>
          <w:tcPr>
            <w:tcW w:type="dxa" w:w="31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d) Datas correspondem ao cartão</w:t>
            </w:r>
          </w:p>
        </w:tc>
        <w:tc>
          <w:tcPr>
            <w:tcW w:type="dxa" w:w="54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☐ sim      ☐ não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e) Matrícula corresponde</w:t>
            </w:r>
          </w:p>
        </w:tc>
        <w:tc>
          <w:tcPr>
            <w:tcW w:type="dxa" w:w="5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☐ sim      ☐ não</w:t>
            </w:r>
          </w:p>
        </w:tc>
      </w:tr>
      <w:tr>
        <w:tc>
          <w:tcPr>
            <w:tcW w:type="dxa" w:w="31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f) Inspeção é do mesmo veículo</w:t>
            </w:r>
          </w:p>
        </w:tc>
        <w:tc>
          <w:tcPr>
            <w:tcW w:type="dxa" w:w="54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☐ sim      ☐ não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g) Categoria da carta adequada</w:t>
            </w:r>
          </w:p>
        </w:tc>
        <w:tc>
          <w:tcPr>
            <w:tcW w:type="dxa" w:w="5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☐ sim      ☐ não</w:t>
            </w:r>
          </w:p>
        </w:tc>
      </w:tr>
      <w:tr>
        <w:tc>
          <w:tcPr>
            <w:tcW w:type="dxa" w:w="31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Decisão</w:t>
            </w:r>
          </w:p>
        </w:tc>
        <w:tc>
          <w:tcPr>
            <w:tcW w:type="dxa" w:w="54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☐ Aprovado      ☐ Recusado — motivo: ____________________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Data e responsável</w:t>
            </w:r>
          </w:p>
        </w:tc>
        <w:tc>
          <w:tcPr>
            <w:tcW w:type="dxa" w:w="5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________________________________________________________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2C8" w:sz="4" w:space="6"/>
      </w:pBdr>
      <w:spacing w:before="60"/>
      <w:jc w:val="center"/>
    </w:pPr>
    <w:r>
      <w:rPr>
        <w:rFonts w:ascii="Calibri" w:cs="Calibri" w:eastAsia="Calibri" w:hAnsi="Calibri"/>
        <w:color w:val="6A7671"/>
        <w:sz w:val="15"/>
        <w:szCs w:val="15"/>
      </w:rPr>
      <w:t xml:space="preserve">Checklist Documental para Aprovação na Aplicação  ·  14 de Setembro de 2026  ·  página </w:t>
    </w:r>
    <w:r>
      <w:rPr>
        <w:rFonts w:ascii="Calibri" w:cs="Calibri" w:eastAsia="Calibri" w:hAnsi="Calibri"/>
        <w:color w:val="6A7671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A7671"/>
        <w:sz w:val="15"/>
        <w:szCs w:val="15"/>
      </w:rPr>
      <w:t xml:space="preserve"> de </w:t>
    </w:r>
    <w:r>
      <w:rPr>
        <w:rFonts w:ascii="Calibri" w:cs="Calibri" w:eastAsia="Calibri" w:hAnsi="Calibri"/>
        <w:color w:val="6A7671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cs="Calibri" w:eastAsia="Calibri" w:hAnsi="Calibri"/>
        <w:color w:val="6A7671"/>
        <w:sz w:val="16"/>
        <w:szCs w:val="16"/>
      </w:rPr>
      <w:t xml:space="preserve">TimorgianaRide  ·  Timorgiara Neto, Unipessoal, Lda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–"/>
      <w:lvlJc w:val="left"/>
      <w:pPr>
        <w:ind w:left="936" w:hanging="28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2026-10-07T10:06:20.146Z</dcterms:created>
  <dcterms:modified xsi:type="dcterms:W3CDTF">2026-10-07T10:06:20.146Z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