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3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TimorgianaRide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cinco documentos: fotografia, documento de identificação, carta de condução,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As conversas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são lidas pela administração da plataforma</w:t>
      </w:r>
      <w:r>
        <w:rPr>
          <w:rFonts w:ascii="Calibri" w:cs="Calibri" w:eastAsia="Calibri" w:hAnsi="Calibri"/>
          <w:sz w:val="21"/>
          <w:szCs w:val="21"/>
        </w:rPr>
        <w:t xml:space="preserve">. O acesso a documentos de identificação, esse,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menores devem viajar acompanhados por adulto responsável. O motorista pode recusar o transporte de menor desacompanhado.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Timorgiana, Lda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3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2026-09-04T01:46:52.814Z</dcterms:created>
  <dcterms:modified xsi:type="dcterms:W3CDTF">2026-09-04T01:46:52.814Z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