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Calibri" w:cs="Calibri" w:eastAsia="Calibri" w:hAnsi="Calibri"/>
          <w:b/>
          <w:bCs/>
          <w:color w:val="0E5C54"/>
          <w:sz w:val="32"/>
          <w:szCs w:val="32"/>
        </w:rPr>
        <w:t xml:space="preserve">Tabela de Infrações e Sanções</w:t>
      </w:r>
    </w:p>
    <w:p>
      <w:pPr>
        <w:pBdr>
          <w:bottom w:val="single" w:color="D8D2C8" w:sz="6" w:space="8"/>
        </w:pBdr>
        <w:spacing w:after="260"/>
      </w:pPr>
      <w:r>
        <w:rPr>
          <w:rFonts w:ascii="Calibri" w:cs="Calibri" w:eastAsia="Calibri" w:hAnsi="Calibri"/>
          <w:color w:val="6A7671"/>
          <w:sz w:val="19"/>
          <w:szCs w:val="19"/>
        </w:rPr>
        <w:t xml:space="preserve">Timorgiara Neto, Unipessoal, Lda.  ·  Zero III, Fatuhada, Dom Aleixo, Díli, Timor-Leste  ·  +670 74192857  ·  +670 75684566  ·  Versão de 14 de Setembro de 2026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1.º  Âmbito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presente Tabela fixa as infrações aos Regulamentos, ao Contrato de Utilização da Plataforma e à Política de Segurança dos Passageiros, e as sanções que lhes correspondem.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Aplica-se aos motoristas admitidos à plataforma HAKAT.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2.º  Graduação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700"/>
      </w:tblGrid>
      <w:tr>
        <w:trPr>
          <w:tblHeader/>
        </w:trPr>
        <w:tc>
          <w:tcPr>
            <w:tcW w:type="dxa" w:w="18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Grau</w:t>
            </w:r>
          </w:p>
        </w:tc>
        <w:tc>
          <w:tcPr>
            <w:tcW w:type="dxa" w:w="67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Leve</w:t>
            </w:r>
          </w:p>
        </w:tc>
        <w:tc>
          <w:tcPr>
            <w:tcW w:type="dxa" w:w="6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Prejudica o serviço, sem pôr em risco pessoas</w:t>
            </w:r>
          </w:p>
        </w:tc>
      </w:tr>
      <w:tr>
        <w:tc>
          <w:tcPr>
            <w:tcW w:type="dxa" w:w="18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Grave</w:t>
            </w:r>
          </w:p>
        </w:tc>
        <w:tc>
          <w:tcPr>
            <w:tcW w:type="dxa" w:w="67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Põe em risco o passageiro, ou lesa-o patrimonialmente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Muito grave</w:t>
            </w:r>
          </w:p>
        </w:tc>
        <w:tc>
          <w:tcPr>
            <w:tcW w:type="dxa" w:w="6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Compromete a integridade das pessoas ou a confiança na plataforma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3.º  Sanções aplicáveis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Advertência escrita, comunicada na aplicação;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Suspensão temporária do acesso, por três, sete ou quinze dias;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Suspensão preventiva, sem prazo fixo, enquanto durar a análise dos factos;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Desativação definitiva da conta;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Suspensão automática, que não é sanção e cessa com a regularização do documento.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3.º-A  A escala e a razão dela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2900"/>
      </w:tblGrid>
      <w:tr>
        <w:trPr>
          <w:tblHeader/>
        </w:trPr>
        <w:tc>
          <w:tcPr>
            <w:tcW w:type="dxa" w:w="20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Grau</w:t>
            </w:r>
          </w:p>
        </w:tc>
        <w:tc>
          <w:tcPr>
            <w:tcW w:type="dxa" w:w="36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1.ª vez</w:t>
            </w:r>
          </w:p>
        </w:tc>
        <w:tc>
          <w:tcPr>
            <w:tcW w:type="dxa" w:w="29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Reincidência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Leve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Advertência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3 dias</w:t>
            </w:r>
          </w:p>
        </w:tc>
      </w:tr>
      <w:tr>
        <w:tc>
          <w:tcPr>
            <w:tcW w:type="dxa" w:w="20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Grave</w:t>
            </w:r>
          </w:p>
        </w:tc>
        <w:tc>
          <w:tcPr>
            <w:tcW w:type="dxa" w:w="36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7 dias</w:t>
            </w:r>
          </w:p>
        </w:tc>
        <w:tc>
          <w:tcPr>
            <w:tcW w:type="dxa" w:w="29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15 dias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Muito grave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Suspensão preventiva até concluir a análise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Desativação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Não há suspensões de trinta dias, e isso é deliberado.</w:t>
      </w:r>
      <w:r>
        <w:rPr>
          <w:rFonts w:ascii="Calibri" w:cs="Calibri" w:eastAsia="Calibri" w:hAnsi="Calibri"/>
          <w:sz w:val="21"/>
          <w:szCs w:val="21"/>
        </w:rPr>
        <w:t xml:space="preserve"> Um motorista impedido de trabalhar durante um mês arranja outro trabalho e não volta. Uma sanção assim parece um degrau intermédio e funciona como um fim — sem o dizer, e sem as garantias de quem é desativado.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Ou os factos são graves ao ponto de justificar o fim da relação, e então é isso que se decide e se comunica, ou são uma interrupção que a pessoa tem de conseguir atravessar. Um motorista de motorizada em Díli que fique trinta dias parado perde o rendimento de um mês por uma infração que, na maior parte dos casos, não causou dano a ninguém.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Há ainda um terceiro prejudicado que não aparece na tabela: com poucos motoristas em serviço, cada suspensão longa retira capacidade à rede, e quem também paga é o passageiro que não encontra viagem.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3.º-B  A suspensão não consome dias pagos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Os dias de utilização adquiridos pelo motorista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só são descontados quando ele conclua uma viagem</w:t>
      </w:r>
      <w:r>
        <w:rPr>
          <w:rFonts w:ascii="Calibri" w:cs="Calibri" w:eastAsia="Calibri" w:hAnsi="Calibri"/>
          <w:sz w:val="21"/>
          <w:szCs w:val="21"/>
        </w:rPr>
        <w:t xml:space="preserve">. Um motorista suspenso não realiza viagens e, por isso, não consome os dias que pagou.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suspensão custa-lhe rendimento, que é o que a torna uma sanção; não lhe custa o que já tinha comprado, que seria uma segunda pena pela mesma infração.</w:t>
      </w:r>
    </w:p>
    <w:p>
      <w:pPr>
        <w:pBdr>
          <w:left w:val="single" w:color="0E5C54" w:sz="18" w:space="8"/>
        </w:pBdr>
        <w:shd w:fill="F3F0EA" w:val="clear"/>
        <w:spacing w:after="140" w:before="140" w:line="276"/>
        <w:ind w:left="160" w:right="160"/>
      </w:pPr>
      <w:r>
        <w:rPr>
          <w:rFonts w:ascii="Calibri" w:cs="Calibri" w:eastAsia="Calibri" w:hAnsi="Calibri"/>
          <w:i/>
          <w:iCs/>
          <w:color w:val="3A4441"/>
          <w:sz w:val="20"/>
          <w:szCs w:val="20"/>
        </w:rPr>
        <w:t xml:space="preserve">A suspensão automática por documento fora de prazo não é uma pena: é a consequência de não estar em condições legais de conduzir. Cessa sozinha, no momento em que o documento renovado for enviado, sem intervenção de ninguém.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4.º  Documentação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1900"/>
        <w:gridCol w:w="1900"/>
      </w:tblGrid>
      <w:tr>
        <w:trPr>
          <w:tblHeader/>
        </w:trPr>
        <w:tc>
          <w:tcPr>
            <w:tcW w:type="dxa" w:w="33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Infração</w:t>
            </w:r>
          </w:p>
        </w:tc>
        <w:tc>
          <w:tcPr>
            <w:tcW w:type="dxa" w:w="15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Grau</w:t>
            </w:r>
          </w:p>
        </w:tc>
        <w:tc>
          <w:tcPr>
            <w:tcW w:type="dxa" w:w="19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1.ª vez</w:t>
            </w:r>
          </w:p>
        </w:tc>
        <w:tc>
          <w:tcPr>
            <w:tcW w:type="dxa" w:w="19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Reincidência</w:t>
            </w:r>
          </w:p>
        </w:tc>
      </w:tr>
      <w:tr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Documento obrigatório em falta, sem data de validade, ou caducado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Automática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Suspensão até regularizar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Suspensão até regularizar</w:t>
            </w:r>
          </w:p>
        </w:tc>
      </w:tr>
      <w:tr>
        <w:tc>
          <w:tcPr>
            <w:tcW w:type="dxa" w:w="33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Não atualizar os dados do veículo após substituição</w:t>
            </w:r>
          </w:p>
        </w:tc>
        <w:tc>
          <w:tcPr>
            <w:tcW w:type="dxa" w:w="15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Grave</w:t>
            </w:r>
          </w:p>
        </w:tc>
        <w:tc>
          <w:tcPr>
            <w:tcW w:type="dxa" w:w="19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Suspensão até regularizar</w:t>
            </w:r>
          </w:p>
        </w:tc>
        <w:tc>
          <w:tcPr>
            <w:tcW w:type="dxa" w:w="19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Suspensão 15 dias</w:t>
            </w:r>
          </w:p>
        </w:tc>
      </w:tr>
      <w:tr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Declarar data de validade que não corresponde ao documento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Grave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Suspensão 7 dias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Suspensão 15 dias</w:t>
            </w:r>
          </w:p>
        </w:tc>
      </w:tr>
      <w:tr>
        <w:tc>
          <w:tcPr>
            <w:tcW w:type="dxa" w:w="33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Apresentar documento falso, alterado ou de terceiro</w:t>
            </w:r>
          </w:p>
        </w:tc>
        <w:tc>
          <w:tcPr>
            <w:tcW w:type="dxa" w:w="15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Muito grave</w:t>
            </w:r>
          </w:p>
        </w:tc>
        <w:tc>
          <w:tcPr>
            <w:tcW w:type="dxa" w:w="19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Desativação</w:t>
            </w:r>
          </w:p>
        </w:tc>
        <w:tc>
          <w:tcPr>
            <w:tcW w:type="dxa" w:w="19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5.º  Identidade e uso da conta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1900"/>
        <w:gridCol w:w="1900"/>
      </w:tblGrid>
      <w:tr>
        <w:trPr>
          <w:tblHeader/>
        </w:trPr>
        <w:tc>
          <w:tcPr>
            <w:tcW w:type="dxa" w:w="33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Infração</w:t>
            </w:r>
          </w:p>
        </w:tc>
        <w:tc>
          <w:tcPr>
            <w:tcW w:type="dxa" w:w="15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Grau</w:t>
            </w:r>
          </w:p>
        </w:tc>
        <w:tc>
          <w:tcPr>
            <w:tcW w:type="dxa" w:w="19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1.ª vez</w:t>
            </w:r>
          </w:p>
        </w:tc>
        <w:tc>
          <w:tcPr>
            <w:tcW w:type="dxa" w:w="19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Reincidência</w:t>
            </w:r>
          </w:p>
        </w:tc>
      </w:tr>
      <w:tr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Não tirar a fotografia de turno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Leve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Impedimento de entrar ao serviço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Advertência</w:t>
            </w:r>
          </w:p>
        </w:tc>
      </w:tr>
      <w:tr>
        <w:tc>
          <w:tcPr>
            <w:tcW w:type="dxa" w:w="33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Ceder a conta a terceiro para conduzir</w:t>
            </w:r>
          </w:p>
        </w:tc>
        <w:tc>
          <w:tcPr>
            <w:tcW w:type="dxa" w:w="15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Muito grave</w:t>
            </w:r>
          </w:p>
        </w:tc>
        <w:tc>
          <w:tcPr>
            <w:tcW w:type="dxa" w:w="19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Desativação</w:t>
            </w:r>
          </w:p>
        </w:tc>
        <w:tc>
          <w:tcPr>
            <w:tcW w:type="dxa" w:w="19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Realizar viagem em veículo diferente do registado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Grave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Suspensão 7 dias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Suspensão 15 dias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6.º  Condução e segurança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1900"/>
        <w:gridCol w:w="1900"/>
      </w:tblGrid>
      <w:tr>
        <w:trPr>
          <w:tblHeader/>
        </w:trPr>
        <w:tc>
          <w:tcPr>
            <w:tcW w:type="dxa" w:w="33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Infração</w:t>
            </w:r>
          </w:p>
        </w:tc>
        <w:tc>
          <w:tcPr>
            <w:tcW w:type="dxa" w:w="15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Grau</w:t>
            </w:r>
          </w:p>
        </w:tc>
        <w:tc>
          <w:tcPr>
            <w:tcW w:type="dxa" w:w="19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1.ª vez</w:t>
            </w:r>
          </w:p>
        </w:tc>
        <w:tc>
          <w:tcPr>
            <w:tcW w:type="dxa" w:w="19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Reincidência</w:t>
            </w:r>
          </w:p>
        </w:tc>
      </w:tr>
      <w:tr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Conduzir sob efeito de álcool ou estupefacientes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Muito grave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Desativação e comunicação às autoridades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3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Conduzir de forma perigosa, com queixa fundamentada</w:t>
            </w:r>
          </w:p>
        </w:tc>
        <w:tc>
          <w:tcPr>
            <w:tcW w:type="dxa" w:w="15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Muito grave</w:t>
            </w:r>
          </w:p>
        </w:tc>
        <w:tc>
          <w:tcPr>
            <w:tcW w:type="dxa" w:w="19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Suspensão imediata e análise</w:t>
            </w:r>
          </w:p>
        </w:tc>
        <w:tc>
          <w:tcPr>
            <w:tcW w:type="dxa" w:w="19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Desativação</w:t>
            </w:r>
          </w:p>
        </w:tc>
      </w:tr>
      <w:tr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Não disponibilizar capacete ao passageiro (motorizada)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Grave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Advertência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Suspensão 7 dias</w:t>
            </w:r>
          </w:p>
        </w:tc>
      </w:tr>
      <w:tr>
        <w:tc>
          <w:tcPr>
            <w:tcW w:type="dxa" w:w="33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Circular com veículo em mau estado de segurança</w:t>
            </w:r>
          </w:p>
        </w:tc>
        <w:tc>
          <w:tcPr>
            <w:tcW w:type="dxa" w:w="15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Grave</w:t>
            </w:r>
          </w:p>
        </w:tc>
        <w:tc>
          <w:tcPr>
            <w:tcW w:type="dxa" w:w="19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Suspensão até comprovar reparação</w:t>
            </w:r>
          </w:p>
        </w:tc>
        <w:tc>
          <w:tcPr>
            <w:tcW w:type="dxa" w:w="19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Suspensão 15 dias</w:t>
            </w:r>
          </w:p>
        </w:tc>
      </w:tr>
      <w:tr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Transportar mais passageiros do que a lotação declarada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Grave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Advertência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Suspensão 15 dias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7.º  Conduta perante o passageiro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1900"/>
        <w:gridCol w:w="1900"/>
      </w:tblGrid>
      <w:tr>
        <w:trPr>
          <w:tblHeader/>
        </w:trPr>
        <w:tc>
          <w:tcPr>
            <w:tcW w:type="dxa" w:w="33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Infração</w:t>
            </w:r>
          </w:p>
        </w:tc>
        <w:tc>
          <w:tcPr>
            <w:tcW w:type="dxa" w:w="15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Grau</w:t>
            </w:r>
          </w:p>
        </w:tc>
        <w:tc>
          <w:tcPr>
            <w:tcW w:type="dxa" w:w="19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1.ª vez</w:t>
            </w:r>
          </w:p>
        </w:tc>
        <w:tc>
          <w:tcPr>
            <w:tcW w:type="dxa" w:w="19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Reincidência</w:t>
            </w:r>
          </w:p>
        </w:tc>
      </w:tr>
      <w:tr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Tratamento desrespeitoso ou linguagem ofensiva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Grave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Advertência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Suspensão 15 dias</w:t>
            </w:r>
          </w:p>
        </w:tc>
      </w:tr>
      <w:tr>
        <w:tc>
          <w:tcPr>
            <w:tcW w:type="dxa" w:w="33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Discriminação de passageiro</w:t>
            </w:r>
          </w:p>
        </w:tc>
        <w:tc>
          <w:tcPr>
            <w:tcW w:type="dxa" w:w="15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Muito grave</w:t>
            </w:r>
          </w:p>
        </w:tc>
        <w:tc>
          <w:tcPr>
            <w:tcW w:type="dxa" w:w="19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Suspensão preventiva e análise</w:t>
            </w:r>
          </w:p>
        </w:tc>
        <w:tc>
          <w:tcPr>
            <w:tcW w:type="dxa" w:w="19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Desativação</w:t>
            </w:r>
          </w:p>
        </w:tc>
      </w:tr>
      <w:tr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Conduta de natureza sexual, intimidatória ou de assédio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Muito grave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Desativação e comunicação às autoridades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3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Desviar-se do percurso sem acordo do passageiro</w:t>
            </w:r>
          </w:p>
        </w:tc>
        <w:tc>
          <w:tcPr>
            <w:tcW w:type="dxa" w:w="15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Grave</w:t>
            </w:r>
          </w:p>
        </w:tc>
        <w:tc>
          <w:tcPr>
            <w:tcW w:type="dxa" w:w="19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Suspensão 7 dias</w:t>
            </w:r>
          </w:p>
        </w:tc>
        <w:tc>
          <w:tcPr>
            <w:tcW w:type="dxa" w:w="19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Suspensão 15 dias</w:t>
            </w:r>
          </w:p>
        </w:tc>
      </w:tr>
      <w:tr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Recusar-se a terminar a viagem no destino pedido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Muito grave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Suspensão preventiva e análise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Desativação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8.º  Preço e cobrança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1900"/>
        <w:gridCol w:w="1900"/>
      </w:tblGrid>
      <w:tr>
        <w:trPr>
          <w:tblHeader/>
        </w:trPr>
        <w:tc>
          <w:tcPr>
            <w:tcW w:type="dxa" w:w="33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Infração</w:t>
            </w:r>
          </w:p>
        </w:tc>
        <w:tc>
          <w:tcPr>
            <w:tcW w:type="dxa" w:w="15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Grau</w:t>
            </w:r>
          </w:p>
        </w:tc>
        <w:tc>
          <w:tcPr>
            <w:tcW w:type="dxa" w:w="19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1.ª vez</w:t>
            </w:r>
          </w:p>
        </w:tc>
        <w:tc>
          <w:tcPr>
            <w:tcW w:type="dxa" w:w="19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Reincidência</w:t>
            </w:r>
          </w:p>
        </w:tc>
      </w:tr>
      <w:tr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Cobrar valor superior ao indicado pela aplicação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Grave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Suspensão 7 dias e devolução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Desativação</w:t>
            </w:r>
          </w:p>
        </w:tc>
      </w:tr>
      <w:tr>
        <w:tc>
          <w:tcPr>
            <w:tcW w:type="dxa" w:w="33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Exigir pagamento antes de terminada a viagem</w:t>
            </w:r>
          </w:p>
        </w:tc>
        <w:tc>
          <w:tcPr>
            <w:tcW w:type="dxa" w:w="15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Leve</w:t>
            </w:r>
          </w:p>
        </w:tc>
        <w:tc>
          <w:tcPr>
            <w:tcW w:type="dxa" w:w="19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Advertência</w:t>
            </w:r>
          </w:p>
        </w:tc>
        <w:tc>
          <w:tcPr>
            <w:tcW w:type="dxa" w:w="19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Suspensão 3 dias</w:t>
            </w:r>
          </w:p>
        </w:tc>
      </w:tr>
      <w:tr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Cobrar ao passageiro taxa de entrada não devida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Grave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Advertência e devolução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Suspensão 15 dias</w:t>
            </w:r>
          </w:p>
        </w:tc>
      </w:tr>
      <w:tr>
        <w:tc>
          <w:tcPr>
            <w:tcW w:type="dxa" w:w="33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Combinar viagem fora da aplicação para evitar registo</w:t>
            </w:r>
          </w:p>
        </w:tc>
        <w:tc>
          <w:tcPr>
            <w:tcW w:type="dxa" w:w="15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Leve</w:t>
            </w:r>
          </w:p>
        </w:tc>
        <w:tc>
          <w:tcPr>
            <w:tcW w:type="dxa" w:w="19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Advertência</w:t>
            </w:r>
          </w:p>
        </w:tc>
        <w:tc>
          <w:tcPr>
            <w:tcW w:type="dxa" w:w="19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Advertência</w:t>
            </w:r>
          </w:p>
        </w:tc>
      </w:tr>
    </w:tbl>
    <w:p>
      <w:pPr>
        <w:pBdr>
          <w:left w:val="single" w:color="0E5C54" w:sz="18" w:space="8"/>
        </w:pBdr>
        <w:shd w:fill="F3F0EA" w:val="clear"/>
        <w:spacing w:after="140" w:before="140" w:line="276"/>
        <w:ind w:left="160" w:right="160"/>
      </w:pPr>
      <w:r>
        <w:rPr>
          <w:rFonts w:ascii="Calibri" w:cs="Calibri" w:eastAsia="Calibri" w:hAnsi="Calibri"/>
          <w:i/>
          <w:iCs/>
          <w:color w:val="3A4441"/>
          <w:sz w:val="20"/>
          <w:szCs w:val="20"/>
        </w:rPr>
        <w:t xml:space="preserve">Combinar uma viagem fora da aplicação não lesa a plataforma, que não cobra comissão. Lesa o passageiro: fora da aplicação não há código de recolha, não há botão de socorro, não há registo de quem conduziu. É por isso que consta desta tabela, e é por isso que a sanção é leve.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9.º  Assiduidade e cancelamentos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1900"/>
        <w:gridCol w:w="1900"/>
      </w:tblGrid>
      <w:tr>
        <w:trPr>
          <w:tblHeader/>
        </w:trPr>
        <w:tc>
          <w:tcPr>
            <w:tcW w:type="dxa" w:w="33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Infração</w:t>
            </w:r>
          </w:p>
        </w:tc>
        <w:tc>
          <w:tcPr>
            <w:tcW w:type="dxa" w:w="15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Grau</w:t>
            </w:r>
          </w:p>
        </w:tc>
        <w:tc>
          <w:tcPr>
            <w:tcW w:type="dxa" w:w="19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1.ª vez</w:t>
            </w:r>
          </w:p>
        </w:tc>
        <w:tc>
          <w:tcPr>
            <w:tcW w:type="dxa" w:w="19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Reincidência</w:t>
            </w:r>
          </w:p>
        </w:tc>
      </w:tr>
      <w:tr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Cancelar após aceitar, sem motivo atendível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Leve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Advertência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Suspensão 3 dias</w:t>
            </w:r>
          </w:p>
        </w:tc>
      </w:tr>
      <w:tr>
        <w:tc>
          <w:tcPr>
            <w:tcW w:type="dxa" w:w="33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Não comparecer no ponto de recolha</w:t>
            </w:r>
          </w:p>
        </w:tc>
        <w:tc>
          <w:tcPr>
            <w:tcW w:type="dxa" w:w="15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Grave</w:t>
            </w:r>
          </w:p>
        </w:tc>
        <w:tc>
          <w:tcPr>
            <w:tcW w:type="dxa" w:w="19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Advertência</w:t>
            </w:r>
          </w:p>
        </w:tc>
        <w:tc>
          <w:tcPr>
            <w:tcW w:type="dxa" w:w="19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Suspensão 15 dias</w:t>
            </w:r>
          </w:p>
        </w:tc>
      </w:tr>
      <w:tr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Taxa de cancelamento persistentemente elevada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Grave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Análise da conta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Suspensão 15 dias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10.º  Procedimento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Antes da aplicação de qualquer sanção que não seja a suspensão automática, é dado ao motorista conhecimento dos factos e oportunidade de se pronunciar, salvo quando a gravidade dos factos imponha suspensão preventiva imediata.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decisão é comunicada na aplicação, com indicação do motivo, e fica registada.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11.º  Suspensão preventiva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Perante queixa de conduta de natureza sexual, violência, condução sob efeito de álcool ou estupefacientes, ou qualquer facto que ponha em risco imediato a segurança dos passageiros, a conta é suspensa de imediato enquanto durar a análise.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suspensão preventiva não constitui, por si, reconhecimento da infração.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12.º  Reincidência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Há reincidência quando a mesma infração seja praticada nos doze meses seguintes à comunicação da sanção anterior.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13.º  Concurso e agravamento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Praticadas várias infrações, aplica-se a sanção mais gravosa, podendo subir-se um degrau na escala do artigo 3.º-A. O agravamento nunca ultrapassa os quinze dias de suspensão: acima disso, a decisão a tomar é a desativação, e deve ser tomada como tal.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14.º  Comunicação às autoridades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Os factos que indiciem a prática de crime são comunicados às autoridades competentes, independentemente da sanção aplicada no âmbito da plataforma.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15.º  Reapreciação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motorista pode pedir a reapreciação de qualquer sanção pelos contactos da Timorgiara Neto, Unipessoal, Lda., no prazo de quinze dias a contar da comunicação.</w:t>
      </w:r>
    </w:p>
    <w:sectPr>
      <w:headerReference w:type="default" r:id="rId7"/>
      <w:footerReference w:type="default" r:id="rId8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8" w:sz="4" w:space="6"/>
      </w:pBdr>
      <w:spacing w:before="60"/>
      <w:jc w:val="center"/>
    </w:pPr>
    <w:r>
      <w:rPr>
        <w:rFonts w:ascii="Calibri" w:cs="Calibri" w:eastAsia="Calibri" w:hAnsi="Calibri"/>
        <w:color w:val="6A7671"/>
        <w:sz w:val="15"/>
        <w:szCs w:val="15"/>
      </w:rPr>
      <w:t xml:space="preserve">Tabela de Infrações e Sanções  ·  14 de Setembro de 2026  ·  página </w:t>
    </w:r>
    <w:r>
      <w:rPr>
        <w:rFonts w:ascii="Calibri" w:cs="Calibri" w:eastAsia="Calibri" w:hAnsi="Calibri"/>
        <w:color w:val="6A7671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A7671"/>
        <w:sz w:val="15"/>
        <w:szCs w:val="15"/>
      </w:rPr>
      <w:t xml:space="preserve"> de </w:t>
    </w:r>
    <w:r>
      <w:rPr>
        <w:rFonts w:ascii="Calibri" w:cs="Calibri" w:eastAsia="Calibri" w:hAnsi="Calibri"/>
        <w:color w:val="6A7671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color w:val="6A7671"/>
        <w:sz w:val="16"/>
        <w:szCs w:val="16"/>
      </w:rPr>
      <w:t xml:space="preserve">HAKAT  ·  Timorgiara Neto, Unipessoal, Lda.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–"/>
      <w:lvlJc w:val="left"/>
      <w:pPr>
        <w:ind w:left="93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2026-10-10T11:21:00.648Z</dcterms:created>
  <dcterms:modified xsi:type="dcterms:W3CDTF">2026-10-10T11:21:00.648Z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