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Regulamento de Registo e Inspeção de Veículos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Timorgiana, Lda  ·  Bidau Toko-Baru, Cristo Rei, Díli, Timor-Leste  ·  +670 74192857  ·  +670 75684566  ·  Versão de 14 de Setembro de 2026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1.º  Objeto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fixa as condições que um veículo deve reunir para ser utilizado no transporte de passageiros angariados através da aplicação TimorgianaRide, bem como as regras de registo, inspeção e substituição desse veículo.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2.º  Veículos admitidos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São admitidos dois tipos de veículo: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3300"/>
      </w:tblGrid>
      <w:tr>
        <w:trPr>
          <w:tblHeader/>
        </w:trPr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2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Designação na aplicação</w:t>
            </w:r>
          </w:p>
        </w:tc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Lotação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Automóvel ligeiro de passageiros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Carro</w:t>
            </w:r>
          </w:p>
        </w:tc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Declarada pelo motorista, sem contar com o condutor</w:t>
            </w:r>
          </w:p>
        </w:tc>
      </w:tr>
      <w:tr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Motociclo ou ciclomotor</w:t>
            </w:r>
          </w:p>
        </w:tc>
        <w:tc>
          <w:tcPr>
            <w:tcW w:type="dxa" w:w="2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Motorizada</w:t>
            </w:r>
          </w:p>
        </w:tc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Um passageiro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lotação declarada é vinculativa: um pedido de viagem para mais pessoas do que o veículo comporta não é apresentado ao motorista.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  Registo do veículo na aplicação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declara, no ato de candidatura ou quando passe a utilizar outro veículo: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Tipo de veículo — carro ou motorizada;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Marca e modelo;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Matrícula;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Cor, escolhida de entre as cores previstas na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Tratando-se de carro, o número de lugares para passageiros.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cor é registada por código e não por palavra. O passageiro lê «Branco» em português e o motorista lê «Mutin» em tétum — a mesma cor, na língua de cada um. É por ela que o passageiro identifica o veículo na rua.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4.º  Cartão de registo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É obrigatória a submissão do cartão de registo do veículo, com indicação da respetiva data de validade.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matrícula constante do cartão deve corresponder à matrícula declarada na aplicação. A divergência entre ambas determina a recusa da candidatura ou a suspensão da conta até esclarecimento.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5.º  Cartão de inspeção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É obrigatória a submissão do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Cartão de Inspeção (Kartaun Inspesaun)</w:t>
      </w:r>
      <w:r>
        <w:rPr>
          <w:rFonts w:ascii="Calibri" w:cs="Calibri" w:eastAsia="Calibri" w:hAnsi="Calibri"/>
          <w:sz w:val="21"/>
          <w:szCs w:val="21"/>
        </w:rPr>
        <w:t xml:space="preserve">, emitido pela Direção Nacional de Transportes Terrestres ao abrigo do Decreto-Lei n.º 6/2003, artigo 110.º.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data a declarar é a que consta da linha «Valido Inspesaun» do cartão, e não a data de inspeção, a data de compra ou a data de registo, que também nele figuram.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cartão tem, em regra, a validade de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um ano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6.º  Renovação da inspeção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próprio cartão determina que a renovação seja requerida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 partir dos dez dias anteriores</w:t>
      </w:r>
      <w:r>
        <w:rPr>
          <w:rFonts w:ascii="Calibri" w:cs="Calibri" w:eastAsia="Calibri" w:hAnsi="Calibri"/>
          <w:sz w:val="21"/>
          <w:szCs w:val="21"/>
        </w:rPr>
        <w:t xml:space="preserve"> ao termo do prazo, advertindo que a circulação com o cartão fora de prazo é sancionada com multa agravada.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aplicação avisa o motorista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quinze dias</w:t>
      </w:r>
      <w:r>
        <w:rPr>
          <w:rFonts w:ascii="Calibri" w:cs="Calibri" w:eastAsia="Calibri" w:hAnsi="Calibri"/>
          <w:sz w:val="21"/>
          <w:szCs w:val="21"/>
        </w:rPr>
        <w:t xml:space="preserve"> antes, indicando quantos dias faltam, e recorda a partir de que data pode dirigir-se à Direção Nacional de Transportes Terrestres. O aviso é dado com antecedência suficiente para reparar nele, e não tão cedo que provoque uma deslocação inútil.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7.º  Efeitos da caducidade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cartão de inspeção caducado, o cartão de registo caducado ou a carta de condução caducada determinam a impossibilidade automática de entrar ao serviço.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documento é válido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até ao dia nele inscrito, inclusive</w:t>
      </w:r>
      <w:r>
        <w:rPr>
          <w:rFonts w:ascii="Calibri" w:cs="Calibri" w:eastAsia="Calibri" w:hAnsi="Calibri"/>
          <w:sz w:val="21"/>
          <w:szCs w:val="21"/>
        </w:rPr>
        <w:t xml:space="preserve">. A contagem faz-se pelo dia em Díli.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conta é reativada automaticamente com a submissão do documento renovado, sem necessidade de qualquer ato da Timorgiana, Lda.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8.º  Estado e conservação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Constitui obrigação permanente do motorista manter o veículo em condições de segurança e asseio, designadamente: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Travões, pneus, luzes, espelhos e buzina em estado de funcionamento;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Cintos de segurança operacionais em todos os lugares declarados, tratando-se de carro;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Capacete disponível para o passageiro, tratando-se de motorizada;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Habitáculo limpo e sem odores que incomodem o passageiro;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Ausência de danos que comprometam a segurança da circulação.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9.º  Seguro obrigatório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 para todos os veículos motorizados</w:t>
      </w:r>
      <w:r>
        <w:rPr>
          <w:rFonts w:ascii="Calibri" w:cs="Calibri" w:eastAsia="Calibri" w:hAnsi="Calibri"/>
          <w:sz w:val="21"/>
          <w:szCs w:val="21"/>
        </w:rPr>
        <w:t xml:space="preserve"> que circulem em Timor-Leste, incluindo os de matrícula estrangeira que entrem no território, nos termos da Instrução Pública n.º 07/2010, aprovada pela Resolução do Conselho n.º 12/2010, de 17 de Dezembro (artigo 3.º, n.º 1).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mesmo diploma fixa (artigo 7.º, n.º 3) os limites máximos de responsabilidade da seguradora: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3100"/>
      </w:tblGrid>
      <w:tr>
        <w:trPr>
          <w:tblHeader/>
        </w:trPr>
        <w:tc>
          <w:tcPr>
            <w:tcW w:type="dxa" w:w="5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Categoria do veículo</w:t>
            </w:r>
          </w:p>
        </w:tc>
        <w:tc>
          <w:tcPr>
            <w:tcW w:type="dxa" w:w="3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Limite por sinistro</w:t>
            </w:r>
          </w:p>
        </w:tc>
      </w:tr>
      <w:tr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Transporte de passageiros e de carga</w:t>
            </w:r>
          </w:p>
        </w:tc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20.000</w:t>
            </w:r>
          </w:p>
        </w:tc>
      </w:tr>
      <w:tr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Restantes veículos motorizados</w:t>
            </w:r>
          </w:p>
        </w:tc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6.000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veículo afeto ao transporte de passageiros angariados através da aplicação insere-se na primeira categoria.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Compete exclusivamente ao motorista, ou ao proprietário do veículo, contratar e manter em vigor a apólice junto de seguradora licenciada pelo Banco Central de Timor-Leste, e confirmar junto dela que a cobertura abrange a atividade efetivamente exercida.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Timorgiana, Lda não é seguradora, não presta cobertura de qualquer natureza, não exige a apresentação da apólice e não responde por sinistros ocorridos durante a viagem.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ausência de seguro não elimina a responsabilidade — elimina quem a suporta. Quem circule sem apólice responde com o seu próprio património, sem qualquer limite, pelos danos que cause. O tecto de USD 20.000 protege quem está segurado; quem não está fica exposto ao valor integral do dano, seja ele qual for.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10.º  Alteração ou substituição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substituição do veículo obriga à atualização imediata dos dados na aplicação e à submissão do novo cartão de registo e do novo cartão de inspeção.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É proibido realizar viagens em veículo diferente do registado na aplicação.</w:t>
      </w:r>
      <w:r>
        <w:rPr>
          <w:rFonts w:ascii="Calibri" w:cs="Calibri" w:eastAsia="Calibri" w:hAnsi="Calibri"/>
          <w:sz w:val="21"/>
          <w:szCs w:val="21"/>
        </w:rPr>
        <w:t xml:space="preserve"> O passageiro identifica o veículo pela marca, pelo modelo, pela cor e pela matrícula que a aplicação lhe mostra; um veículo diferente do anunciado põe em causa a segurança de quem espera na rua.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11.º  Veículo de terceiro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que conduza veículo de que não seja proprietário deve dispor de autorização escrita do proprietário para o afetar ao transporte remunerado de passageiros, nos termos do modelo de declaração disponibilizado pela Timorgiana, Lda.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Timorgiana, Lda pode solicitar a exibição dessa autorização a qualquer momento.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12.º  Verificações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verifica automaticamente, no momento da apreciação da candidatura e sempre que um documento seja substituído: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presença dos documentos exigidos;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existência de data de validade nos documentos que a exijam;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não caducidade de qualquer documento;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plausibilidade da data declarada, assinalando as que se afastem manifestamente do prazo normal do documento;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proximidade do termo do prazo, nos trinta dias seguintes.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verificação de plausibilidade não recusa nada: assinala. Um cartão de inspeção declarado como válido por três anos não é um documento válido — é um lapso ou uma invenção —, e o que a aplicação faz é chamar a atenção de quem decide para essa fotografia em concreto.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13.º  Entrada em vigor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entra em vigor em 14 de Setembro de 2026.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Regulamento de Registo e Inspeção de Veículos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TimorgianaRide  ·  Timorgiana,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2026-09-14T12:54:58.684Z</dcterms:created>
  <dcterms:modified xsi:type="dcterms:W3CDTF">2026-09-14T12:54:58.684Z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