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rPr>
          <w:rFonts w:ascii="Calibri" w:cs="Calibri" w:eastAsia="Calibri" w:hAnsi="Calibri"/>
          <w:b/>
          <w:bCs/>
          <w:color w:val="0E5C54"/>
          <w:sz w:val="32"/>
          <w:szCs w:val="32"/>
        </w:rPr>
        <w:t xml:space="preserve">Parecer Jurídico</w:t>
      </w:r>
    </w:p>
    <w:p>
      <w:pPr>
        <w:pBdr>
          <w:bottom w:val="single" w:color="D8D2C8" w:sz="6" w:space="8"/>
        </w:pBdr>
        <w:spacing w:after="260"/>
      </w:pPr>
      <w:r>
        <w:rPr>
          <w:rFonts w:ascii="Calibri" w:cs="Calibri" w:eastAsia="Calibri" w:hAnsi="Calibri"/>
          <w:color w:val="6A7671"/>
          <w:sz w:val="19"/>
          <w:szCs w:val="19"/>
        </w:rPr>
        <w:t xml:space="preserve">Enquadramento legal do transporte individual de passageiros a partir de plataforma eletrónica em Timor-Leste  ·  21 de Setembro de 2026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E5C54"/>
          <w:sz w:val="23"/>
          <w:szCs w:val="23"/>
        </w:rPr>
        <w:t xml:space="preserve">I.  Objeto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Determinar qual o regime jurídico aplicável, em Timor-Leste, à atividade de intermediação eletrónica entre passageiros e condutores de veículos ligeiros, e qual o título habilitante exigível à entidade que explora a plataforma informática.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E5C54"/>
          <w:sz w:val="23"/>
          <w:szCs w:val="23"/>
        </w:rPr>
        <w:t xml:space="preserve">II.  Direito aplicável</w:t>
      </w:r>
    </w:p>
    <w:p>
      <w:pPr>
        <w:spacing w:after="9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O sistema de transportes rodoviários rege-se, no essencial, pelos seguintes diplomas: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Decreto-Lei n.º 2/2003, de 10 de Março (Lei de Bases do Sistema de Transportes Rodoviários)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Decreto-Lei n.º 6/2003, de 3 de Abril (Código da Estrada)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Diploma Ministerial n.º 5/2010, de 5 de Maio (Disciplina a Atividade de Transporte Público de Passageiros na Modalidade Táxi)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Diplomas Ministeriais n.os 2/MTCOP/2003 e 3/MTCOP/2003, sobre tarifas e sistema de transporte coletivo rodoviário.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É esta, aliás, a lista que a própria Direção Nacional dos Transportes Terrestres publica como base da sua atividade.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E5C54"/>
          <w:sz w:val="23"/>
          <w:szCs w:val="23"/>
        </w:rPr>
        <w:t xml:space="preserve">III.  Qualificação da atividade</w:t>
      </w:r>
    </w:p>
    <w:p>
      <w:pPr>
        <w:spacing w:after="90" w:before="1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a) Transporte regular e transporte ocasional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Nos termos do artigo 13.º do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Decreto-Lei n.º 2/2003</w:t>
      </w:r>
      <w:r>
        <w:rPr>
          <w:rFonts w:ascii="Calibri" w:cs="Calibri" w:eastAsia="Calibri" w:hAnsi="Calibri"/>
          <w:sz w:val="21"/>
          <w:szCs w:val="21"/>
        </w:rPr>
        <w:t xml:space="preserve">, são transportes regulares os realizados «segundo itinerários, paragens, horários e preços previamente definidos» (n.º 2) e ocasionais os realizados «sem carácter de regularidade (…) segundo itinerários, horários e preços livremente negociados ou estabelecidos caso por caso» (n.º 3).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 viagem pedida por aplicação não tem itinerário, paragem nem horário previamente definidos. Qualifica-se, por isso, como transporte ocasional de passageiros em veículo ligeiro.</w:t>
      </w:r>
    </w:p>
    <w:p>
      <w:pPr>
        <w:spacing w:after="90" w:before="1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b) O licenciamento recai sobre o veículo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O artigo 13.º, n.º 4, determina que «os veículos afectos à exploração dos transportes públicos estão sujeitos a licenciamento». E o artigo 18.º, n.º 2, comete à Direção Nacional dos Transportes Terrestres «a atribuição de licenças para veículos ligeiros e pesados destinados a transportes ocasionais de passageiros».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O objeto do licenciamento é o veículo, não o programa informático.</w:t>
      </w:r>
    </w:p>
    <w:p>
      <w:pPr>
        <w:spacing w:after="90" w:before="1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c) Acesso à profissão de transportador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O artigo 15.º exige, a quem exerça a profissão de transportador público rodoviário, que a empresa seja timorense ou controlada em mais de 50% por nacionais, que reúna idoneidade e capacidade financeira e profissional «a definir em regulamento», e que esteja inscrita no «registo nacional de transportadores rodoviários,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 criar para o efeito</w:t>
      </w:r>
      <w:r>
        <w:rPr>
          <w:rFonts w:ascii="Calibri" w:cs="Calibri" w:eastAsia="Calibri" w:hAnsi="Calibri"/>
          <w:sz w:val="21"/>
          <w:szCs w:val="21"/>
        </w:rPr>
        <w:t xml:space="preserve">».</w:t>
      </w:r>
    </w:p>
    <w:p>
      <w:pPr>
        <w:pBdr>
          <w:left w:val="single" w:color="0E5C54" w:sz="18" w:space="8"/>
        </w:pBdr>
        <w:shd w:fill="F3F0EA" w:val="clear"/>
        <w:spacing w:after="140" w:before="140" w:line="276"/>
        <w:ind w:left="160" w:right="160"/>
      </w:pPr>
      <w:r>
        <w:rPr>
          <w:rFonts w:ascii="Calibri" w:cs="Calibri" w:eastAsia="Calibri" w:hAnsi="Calibri"/>
          <w:i/>
          <w:iCs/>
          <w:color w:val="3A4441"/>
          <w:sz w:val="20"/>
          <w:szCs w:val="20"/>
        </w:rPr>
        <w:t xml:space="preserve">Assinala-se, com o respeito devido, que não foi possível confirmar que tal registo tenha sido criado, nem que tenha sido publicado o regulamento que define a idoneidade e as capacidades exigidas. A confirmar-se, o regime de acesso à profissão encontra-se incompleto, o que releva para aferir a exigibilidade do título.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E5C54"/>
          <w:sz w:val="23"/>
          <w:szCs w:val="23"/>
        </w:rPr>
        <w:t xml:space="preserve">IV.  O regime do táxi e os seus limites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O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Diploma Ministerial n.º 5/2010</w:t>
      </w:r>
      <w:r>
        <w:rPr>
          <w:rFonts w:ascii="Calibri" w:cs="Calibri" w:eastAsia="Calibri" w:hAnsi="Calibri"/>
          <w:sz w:val="21"/>
          <w:szCs w:val="21"/>
        </w:rPr>
        <w:t xml:space="preserve"> é o único regime que disciplina o transporte individual e remunerado de passageiros. Sujeita-o a «prévia concessão de Licença para Transporte Público pela Direcção Nacional dos Transportes Terrestres» (artigo 1.º, n.º 2) e fixa as taxas respetivas (artigo 8.º): 50 USD pela primeira licença e 25 USD pela renovação anual.</w:t>
      </w:r>
    </w:p>
    <w:p>
      <w:pPr>
        <w:spacing w:after="9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O seu âmbito material é, porém, estrito. O artigo 5.º exige que o veículo seja: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automóvel fechado de quatro portas;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pintado uniformemente de amarelo;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com indicador luminoso «TÁXI» sobre o tejadilho e a menção «TÁXI» em ambas as portas;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com menos de sete anos à data da primeira licença;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titular de licença da Direção Nacional do Comércio Doméstico para o exercício da atividade.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Acresce que o preço se encontra sujeito a tabela oficial, sendo vedado ao condutor «cobrar tarifa acima da tabela oficial» (artigo 7.º, n.º 3, alínea a)).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Resulta daqui uma conclusão que se impõe: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o regime do táxi não é aplicável ao transporte em motociclo</w:t>
      </w:r>
      <w:r>
        <w:rPr>
          <w:rFonts w:ascii="Calibri" w:cs="Calibri" w:eastAsia="Calibri" w:hAnsi="Calibri"/>
          <w:sz w:val="21"/>
          <w:szCs w:val="21"/>
        </w:rPr>
        <w:t xml:space="preserve">, que nenhum diploma timorense prevê como modalidade de transporte público de passageiros, nem foi pensado para veículos não caracterizados.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E5C54"/>
          <w:sz w:val="23"/>
          <w:szCs w:val="23"/>
        </w:rPr>
        <w:t xml:space="preserve">V.  A lacuna quanto às plataformas eletrónicas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Percorridos os diplomas em vigor, não se encontra norma que preveja, defina ou sujeite a título habilitante a atividade de intermediação eletrónica entre passageiros e condutores. Não existe procedimento, não existem requisitos e não existe taxa.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Não se trata de um espaço de liberdade que a lei tenha querido criar: trata-se de uma lacuna, explicável pela data dos diplomas — 2003 e 2010 — muito anteriores à difusão deste modelo de serviço. A consequência prática é que a entidade que quisesse licenciar-se não disporia de título que pudesse requerer.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E5C54"/>
          <w:sz w:val="23"/>
          <w:szCs w:val="23"/>
        </w:rPr>
        <w:t xml:space="preserve">VI.  Do regime sancionatório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O artigo 7.º, alínea c), do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Decreto-Lei n.º 2/2003</w:t>
      </w:r>
      <w:r>
        <w:rPr>
          <w:rFonts w:ascii="Calibri" w:cs="Calibri" w:eastAsia="Calibri" w:hAnsi="Calibri"/>
          <w:sz w:val="21"/>
          <w:szCs w:val="21"/>
        </w:rPr>
        <w:t xml:space="preserve"> remete a aplicação de sanções para «os diplomas de execução do presente decreto-lei». O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Diploma Ministerial n.º 5/2010</w:t>
      </w:r>
      <w:r>
        <w:rPr>
          <w:rFonts w:ascii="Calibri" w:cs="Calibri" w:eastAsia="Calibri" w:hAnsi="Calibri"/>
          <w:sz w:val="21"/>
          <w:szCs w:val="21"/>
        </w:rPr>
        <w:t xml:space="preserve"> prevê coimas para o atraso na renovação da licença (artigo 3.º, n.º 3), para o atraso na inspeção semestral (artigo 4.º, n.º 3) e para infrações do condutor (artigos 6.º e 7.º).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Não se encontra, porém, norma que sancione a exploração de plataforma eletrónica sem título</w:t>
      </w:r>
      <w:r>
        <w:rPr>
          <w:rFonts w:ascii="Calibri" w:cs="Calibri" w:eastAsia="Calibri" w:hAnsi="Calibri"/>
          <w:sz w:val="21"/>
          <w:szCs w:val="21"/>
        </w:rPr>
        <w:t xml:space="preserve">, pela razão simples de que a lei não conhece essa figura. O risco sancionatório efetivo recai, assim, não sobre a empresa, mas sobre o condutor, cujo veículo não se encontra licenciado para transporte público.</w:t>
      </w:r>
    </w:p>
    <w:p>
      <w:pPr>
        <w:pBdr>
          <w:left w:val="single" w:color="0E5C54" w:sz="18" w:space="8"/>
        </w:pBdr>
        <w:shd w:fill="F3F0EA" w:val="clear"/>
        <w:spacing w:after="140" w:before="140" w:line="276"/>
        <w:ind w:left="160" w:right="160"/>
      </w:pPr>
      <w:r>
        <w:rPr>
          <w:rFonts w:ascii="Calibri" w:cs="Calibri" w:eastAsia="Calibri" w:hAnsi="Calibri"/>
          <w:i/>
          <w:iCs/>
          <w:color w:val="3A4441"/>
          <w:sz w:val="20"/>
          <w:szCs w:val="20"/>
        </w:rPr>
        <w:t xml:space="preserve">Esta conclusão não é invocada como defesa. É invocada como razão para regular: um regime que só pode ser aplicado a quem conduz, e nunca a quem organiza, é um regime que pune o elo mais fraco e deixa intacto o que se pretendia disciplinar.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E5C54"/>
          <w:sz w:val="23"/>
          <w:szCs w:val="23"/>
        </w:rPr>
        <w:t xml:space="preserve">VII.  Direito comparado</w:t>
      </w:r>
    </w:p>
    <w:p>
      <w:pPr>
        <w:spacing w:after="90" w:before="1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a) União Europeia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No acórdão Asociación Profesional Elite Taxi c. Uber Systems Spain (processo C-434/15, de 20 de dezembro de 2017), o Tribunal de Justiça qualificou o serviço de intermediação como «serviço no domínio dos transportes», por a plataforma criar a oferta e exercer influência decisiva sobre as suas condições, designadamente o preço. No acórdão Airbnb Ireland (C-390/18, de 19 de dezembro de 2019) concluiu em sentido inverso, precisamente por a plataforma não fixar o preço.</w:t>
      </w:r>
    </w:p>
    <w:p>
      <w:pPr>
        <w:spacing w:after="90" w:before="1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b) Portugal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 Lei n.º 45/2018, de 10 de agosto, criou o regime do transporte individual e remunerado de passageiros em veículos descaracterizados a partir de plataforma eletrónica (TVDE), sujeitando a operador, motorista, veículo e plataforma a títulos próprios. É, pela proximidade do sistema jurídico, o modelo de mais fácil adaptação a Timor-Leste.</w:t>
      </w:r>
    </w:p>
    <w:p>
      <w:pPr>
        <w:spacing w:after="90" w:before="1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c) Indonésia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O transporte de passageiros em motociclo não é reconhecido como transporte público pela Lei n.º 22/2009, tendo sido disciplinado por regulamento ministerial de segurança (Permenhub n.º 12/2019). É solução juridicamente discutida, mas demonstra que a matéria pode ser tratada por via regulamentar e com fundamento na segurança.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E5C54"/>
          <w:sz w:val="23"/>
          <w:szCs w:val="23"/>
        </w:rPr>
        <w:t xml:space="preserve">VIII.  Conclusões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1.ª  A atividade de transporte a pedido em veículo ligeiro qualifica-se como transporte ocasional de passageiros, sujeito a licenciamento do veículo pela DNTT (artigos 13.º, n.º 4, e 18.º, n.º 2, do Decreto-Lei n.º 2/2003).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2.ª  O regime do táxi (Diploma Ministerial n.º 5/2010) não é aplicável a veículos não caracterizados nem a motociclos.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3.ª  Não existe em Timor-Leste título habilitante para plataformas eletrónicas de intermediação, nem procedimento pelo qual possa ser requerido.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4.ª  Não existe norma que sancione a exploração de plataforma sem título; o risco sancionatório recai sobre o condutor.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5.ª  O regime de acesso à profissão de transportador depende de registo e de regulamento cuja existência não foi possível confirmar.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6.ª  A situação não se resolve por fiscalização, mas por norma. Recomenda-se a aprovação de diploma ministerial, cujo anteprojeto se junta.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sz w:val="21"/>
          <w:szCs w:val="21"/>
        </w:rPr>
        <w:t xml:space="preserve">É este o nosso parecer, salvo melhor opinião e sem prejuízo do esclarecimento que a Direção Nacional dos Transportes Terrestres entenda solicitar.</w:t>
      </w:r>
    </w:p>
    <w:sectPr>
      <w:headerReference w:type="default" r:id="rId7"/>
      <w:footerReference w:type="default" r:id="rId8"/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2C8" w:sz="4" w:space="6"/>
      </w:pBdr>
      <w:spacing w:before="60"/>
      <w:jc w:val="center"/>
    </w:pPr>
    <w:r>
      <w:rPr>
        <w:rFonts w:ascii="Calibri" w:cs="Calibri" w:eastAsia="Calibri" w:hAnsi="Calibri"/>
        <w:color w:val="6A7671"/>
        <w:sz w:val="15"/>
        <w:szCs w:val="15"/>
      </w:rPr>
      <w:t xml:space="preserve">Parecer Jurídico  ·  21 de Setembro de 2026  ·  página </w:t>
    </w:r>
    <w:r>
      <w:rPr>
        <w:rFonts w:ascii="Calibri" w:cs="Calibri" w:eastAsia="Calibri" w:hAnsi="Calibri"/>
        <w:color w:val="6A7671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A7671"/>
        <w:sz w:val="15"/>
        <w:szCs w:val="15"/>
      </w:rPr>
      <w:t xml:space="preserve"> de </w:t>
    </w:r>
    <w:r>
      <w:rPr>
        <w:rFonts w:ascii="Calibri" w:cs="Calibri" w:eastAsia="Calibri" w:hAnsi="Calibri"/>
        <w:color w:val="6A7671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Calibri" w:cs="Calibri" w:eastAsia="Calibri" w:hAnsi="Calibri"/>
        <w:color w:val="6A7671"/>
        <w:sz w:val="16"/>
        <w:szCs w:val="16"/>
      </w:rPr>
      <w:t xml:space="preserve">TimorgianaRide  ·  Timorgiana, Lda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  <w:lvl w:ilvl="1" w15:tentative="1">
      <w:start w:val="1"/>
      <w:numFmt w:val="bullet"/>
      <w:lvlText w:val="–"/>
      <w:lvlJc w:val="left"/>
      <w:pPr>
        <w:ind w:left="936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2026-09-21T02:56:57.731Z</dcterms:created>
  <dcterms:modified xsi:type="dcterms:W3CDTF">2026-09-21T02:56:57.731Z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