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Registo e Inspeção de Veículos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as condições que um veículo deve reunir para ser utilizado no transporte de passageiros angariados através da aplicação HAKAT, bem como as regras de registo, inspeção e substituição desse veículo.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Veículos admitidos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admitidos dois tipos de veículo: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33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Designação na aplicação</w:t>
            </w:r>
          </w:p>
        </w:tc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Lotação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Automóvel ligeiro de passageiros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</w:t>
            </w:r>
          </w:p>
        </w:tc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Declarada pelo motorista, sem contar com o condutor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Motociclo ou ciclomotor</w:t>
            </w:r>
          </w:p>
        </w:tc>
        <w:tc>
          <w:tcPr>
            <w:tcW w:type="dxa" w:w="2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Motorizada</w:t>
            </w:r>
          </w:p>
        </w:tc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Um passageiro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lotação declarada é vinculativa: um pedido de viagem para mais pessoas do que o veículo comporta não é apresentado ao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Registo do veículo na aplicação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declara, no ato de candidatura ou quando passe a utilizar outro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Tipo de veículo — carro ou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Marca e modelo;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Matrícula;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Cor, escolhida de entre as cores previstas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Tratando-se de carro, o número de lugares para passageiros.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cor é registada por código e não por palavra. O passageiro lê «Branco» em português e o motorista lê «Mutin» em tétum — a mesma cor, na língua de cada um. É por ela que o passageiro identifica o veículo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Cartão de registo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obrigatória a submissão do cartão de registo do veículo, com indicação da respetiva data de validade.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matrícula constante do cartão deve corresponder à matrícula declarada na aplicação. A divergência entre ambas determina a recusa da candidatura ou a suspensão da conta até esclarecimento.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Cartão de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É obrigatória a submissão 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Cartão de Inspeção (Kartaun Inspesaun)</w:t>
      </w:r>
      <w:r>
        <w:rPr>
          <w:rFonts w:ascii="Calibri" w:cs="Calibri" w:eastAsia="Calibri" w:hAnsi="Calibri"/>
          <w:sz w:val="21"/>
          <w:szCs w:val="21"/>
        </w:rPr>
        <w:t xml:space="preserve">, emitido pela Direção Nacional de Transportes Terrestres ao abrigo do Decreto-Lei n.º 6/2003, artigo 110.º.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a declarar é a que consta da linha «Valido Inspesaun» do cartão, e não a data de inspeção, a data de compra ou a data de registo, que também nele figuram.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cartão tem, em regra, a validade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um ano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Renovação da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próprio cartão determina que a renovação seja requerida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partir dos dez dias anteriores</w:t>
      </w:r>
      <w:r>
        <w:rPr>
          <w:rFonts w:ascii="Calibri" w:cs="Calibri" w:eastAsia="Calibri" w:hAnsi="Calibri"/>
          <w:sz w:val="21"/>
          <w:szCs w:val="21"/>
        </w:rPr>
        <w:t xml:space="preserve"> ao termo do prazo, advertindo que a circulação com o cartão fora de prazo é sancionada com multa agravada.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antes, indicando quantos dias faltam, e recorda a partir de que data pode dirigir-se à Direção Nacional de Transportes Terrestres. O aviso é dado com antecedência suficiente para reparar nele, e não tão cedo que provoque uma deslocação inútil.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Efeitos da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cartão de inspeção caducado, o cartão de registo caducado ou a carta de condução caducada determinam a impossibilidade automática de entrar ao serviço.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documento é válido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até ao dia nele inscrito, inclusive</w:t>
      </w:r>
      <w:r>
        <w:rPr>
          <w:rFonts w:ascii="Calibri" w:cs="Calibri" w:eastAsia="Calibri" w:hAnsi="Calibri"/>
          <w:sz w:val="21"/>
          <w:szCs w:val="21"/>
        </w:rPr>
        <w:t xml:space="preserve">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é reativada automaticamente com a submissão do documento renovado, sem necessidade de qualquer ato da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Estado e conservação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permanente do motorista manter o veículo em condições de segurança e asseio,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Travões, pneus, luzes, espelhos e buzina em estado de funcionamento;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Cintos de segurança operacionais em todos os lugares declarados, tratando-se de carro;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Capacete disponível para o passageiro, tratando-se de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Habitáculo limpo e sem odores que incomodem 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Ausência de danos que comprometam a segurança da circulação.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para todos os veículos motorizados</w:t>
      </w:r>
      <w:r>
        <w:rPr>
          <w:rFonts w:ascii="Calibri" w:cs="Calibri" w:eastAsia="Calibri" w:hAnsi="Calibri"/>
          <w:sz w:val="21"/>
          <w:szCs w:val="21"/>
        </w:rPr>
        <w:t xml:space="preserve"> que circulem em Timor-Leste, incluindo os de matrícula estrangeira que entrem no território,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100"/>
      </w:tblGrid>
      <w:tr>
        <w:trPr>
          <w:tblHeader/>
        </w:trPr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 do veículo</w:t>
            </w:r>
          </w:p>
        </w:tc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Limite por sinistro</w:t>
            </w:r>
          </w:p>
        </w:tc>
      </w:tr>
      <w:tr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Transporte de passageiros e de carga</w:t>
            </w:r>
          </w:p>
        </w:tc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20.000</w:t>
            </w:r>
          </w:p>
        </w:tc>
      </w:tr>
      <w:tr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Restantes veículos motorizados</w:t>
            </w:r>
          </w:p>
        </w:tc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6.000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veículo afeto ao transporte de passageiros angariados através da aplicação insere-se na primeira categoria.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Compete exclusivamente ao motorista, ou ao proprietário do veículo, contratar e manter em vigor a apólice junto de seguradora licenciada pelo Banco Central de Timor-Leste, e confirmar junto dela que a cobertura abrange a atividade efetivamente exercida.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é seguradora, não presta cobertura de qualquer natureza, não exige a apresentação da apólice e não responde por sinistros ocorridos durante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ausência de seguro não elimina a responsabilidade — elimina quem a suporta. Quem circule sem apólice responde com o seu próprio património, sem qualquer limite, pelos danos que cause. O tecto de USD 20.000 protege quem está segurado; quem não está fica exposto ao valor integral do dano, seja ele qual for.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Alteração ou substituição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substituição do veículo obriga à atualização imediata dos dados na aplicação e à submissão do novo cartão de registo e do novo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É proibido realizar viagens em veículo diferente do registado na aplicação.</w:t>
      </w:r>
      <w:r>
        <w:rPr>
          <w:rFonts w:ascii="Calibri" w:cs="Calibri" w:eastAsia="Calibri" w:hAnsi="Calibri"/>
          <w:sz w:val="21"/>
          <w:szCs w:val="21"/>
        </w:rPr>
        <w:t xml:space="preserve"> O passageiro identifica o veículo pela marca, pelo modelo, pela cor e pela matrícula que a aplicação lhe mostra; um veículo diferente do anunciado põe em causa a segurança de quem espera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Veículo de terceiro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que conduza veículo de que não seja proprietário deve dispor de autorização escrita do proprietário para o afetar ao transporte remunerado de passageiros, nos termos do modelo de declaração disponibilizado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solicitar a exibição dessa autorização a qualquer momento.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Verificações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automaticamente, no momento da apreciação da candidatura e sempre que um documento seja substituído: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presença dos documentos exigidos;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existência de data de validade nos documentos que a exijam;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não caducidade de qualquer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plausibilidade da data declarada, assinalando as que se afastem manifestamente do prazo normal do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proximidade do termo do prazo, nos trinta dias seguintes.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não recusa nada: assinala. Um cartão de inspeção declarado como válido por três anos não é um documento válido — é um lapso ou uma invenção —, e o que a aplicação faz é chamar a atenção de quem decide para essa fotografia em concreto.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Registo e Inspeção de Veículos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2026-10-07T12:25:04.860Z</dcterms:created>
  <dcterms:modified xsi:type="dcterms:W3CDTF">2026-10-07T12:25:04.860Z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