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/>
      </w:pPr>
      <w:r>
        <w:rPr>
          <w:rFonts w:eastAsia="Arial" w:cs="Arial"/>
          <w:b/>
          <w:bCs/>
          <w:sz w:val="60"/>
          <w:szCs w:val="60"/>
        </w:rPr>
        <w:t>SIMARAN SHAIKH</w:t>
      </w:r>
    </w:p>
    <w:p>
      <w:pPr>
        <w:pStyle w:val="Normal"/>
        <w:spacing w:before="0" w:after="24"/>
        <w:jc w:val="center"/>
        <w:rPr/>
      </w:pPr>
      <w:r>
        <w:rPr>
          <w:rFonts w:eastAsia="Arial" w:cs="Arial"/>
          <w:sz w:val="18"/>
          <w:szCs w:val="18"/>
        </w:rPr>
        <w:t>+91 83299 39588   │   simaranshaikh04@gmail.com   │   Ponda, Goa, India  —  Open to Remote &amp; Mumbai / Pune / Bengaluru</w:t>
      </w:r>
    </w:p>
    <w:p>
      <w:pPr>
        <w:pStyle w:val="Normal"/>
        <w:spacing w:before="0" w:after="100"/>
        <w:jc w:val="center"/>
        <w:rPr/>
      </w:pPr>
      <w:r>
        <w:rPr>
          <w:rFonts w:eastAsia="Arial" w:cs="Arial"/>
          <w:sz w:val="18"/>
          <w:szCs w:val="18"/>
        </w:rPr>
        <w:t>linkedin.com/in/simaran-shaikh   │   github.com/Simaran-Shaikh-04   │   simaran-shaikh-04.github.io</w:t>
      </w:r>
    </w:p>
    <w:p>
      <w:pPr>
        <w:pStyle w:val="Normal"/>
        <w:pBdr>
          <w:bottom w:val="single" w:sz="8" w:space="2" w:color="000000"/>
        </w:pBdr>
        <w:spacing w:before="180" w:after="80"/>
        <w:rPr/>
      </w:pPr>
      <w:r>
        <w:rPr>
          <w:rFonts w:eastAsia="Arial" w:cs="Arial"/>
          <w:b/>
          <w:bCs/>
          <w:caps/>
          <w:sz w:val="22"/>
          <w:szCs w:val="22"/>
        </w:rPr>
        <w:t>Education</w:t>
      </w:r>
    </w:p>
    <w:p>
      <w:pPr>
        <w:pStyle w:val="Normal"/>
        <w:tabs>
          <w:tab w:val="clear" w:pos="720"/>
          <w:tab w:val="right" w:pos="10800" w:leader="none"/>
        </w:tabs>
        <w:spacing w:before="100" w:after="0"/>
        <w:rPr/>
      </w:pPr>
      <w:r>
        <w:rPr>
          <w:rFonts w:eastAsia="Arial" w:cs="Arial"/>
          <w:b/>
          <w:bCs/>
          <w:sz w:val="20"/>
          <w:szCs w:val="20"/>
        </w:rPr>
        <w:t>Don Bosco College</w:t>
      </w:r>
      <w:r>
        <w:rPr>
          <w:rFonts w:eastAsia="Arial" w:cs="Arial"/>
          <w:sz w:val="20"/>
          <w:szCs w:val="20"/>
        </w:rPr>
        <w:tab/>
        <w:t>Panjim, Goa</w:t>
      </w:r>
    </w:p>
    <w:p>
      <w:pPr>
        <w:pStyle w:val="Normal"/>
        <w:tabs>
          <w:tab w:val="clear" w:pos="720"/>
          <w:tab w:val="right" w:pos="10800" w:leader="none"/>
        </w:tabs>
        <w:spacing w:before="0" w:after="40"/>
        <w:rPr/>
      </w:pPr>
      <w:r>
        <w:rPr>
          <w:rFonts w:eastAsia="Arial" w:cs="Arial"/>
          <w:i/>
          <w:iCs/>
          <w:sz w:val="18"/>
          <w:szCs w:val="18"/>
        </w:rPr>
        <w:t>Bachelor of Commerce (B.Com.) in Financial Accounting</w:t>
      </w:r>
      <w:r>
        <w:rPr>
          <w:rFonts w:eastAsia="Arial" w:cs="Arial"/>
          <w:sz w:val="18"/>
          <w:szCs w:val="18"/>
        </w:rPr>
        <w:tab/>
      </w:r>
      <w:r>
        <w:rPr>
          <w:rFonts w:eastAsia="Arial" w:cs="Arial"/>
          <w:i/>
          <w:iCs/>
          <w:sz w:val="18"/>
          <w:szCs w:val="18"/>
        </w:rPr>
        <w:t>Jun 2024 – Apr 2027</w:t>
      </w:r>
    </w:p>
    <w:p>
      <w:pPr>
        <w:pStyle w:val="Normal"/>
        <w:spacing w:before="0" w:after="40"/>
        <w:ind w:start="180"/>
        <w:rPr/>
      </w:pPr>
      <w:r>
        <w:rPr>
          <w:rFonts w:eastAsia="Arial" w:cs="Arial"/>
          <w:i/>
          <w:iCs/>
          <w:sz w:val="18"/>
          <w:szCs w:val="18"/>
        </w:rPr>
        <w:t>Student Coordinator for Commerce Department and IQAC industry programs.</w:t>
      </w:r>
    </w:p>
    <w:p>
      <w:pPr>
        <w:pStyle w:val="Normal"/>
        <w:tabs>
          <w:tab w:val="clear" w:pos="720"/>
          <w:tab w:val="right" w:pos="10800" w:leader="none"/>
        </w:tabs>
        <w:spacing w:before="100" w:after="0"/>
        <w:rPr/>
      </w:pPr>
      <w:r>
        <w:rPr>
          <w:rFonts w:eastAsia="Arial" w:cs="Arial"/>
          <w:b/>
          <w:bCs/>
          <w:sz w:val="20"/>
          <w:szCs w:val="20"/>
        </w:rPr>
        <w:t>Deepvihar Higher Secondary School</w:t>
      </w:r>
      <w:r>
        <w:rPr>
          <w:rFonts w:eastAsia="Arial" w:cs="Arial"/>
          <w:sz w:val="20"/>
          <w:szCs w:val="20"/>
        </w:rPr>
        <w:tab/>
        <w:t>Vasco, Goa</w:t>
      </w:r>
    </w:p>
    <w:p>
      <w:pPr>
        <w:pStyle w:val="Normal"/>
        <w:tabs>
          <w:tab w:val="clear" w:pos="720"/>
          <w:tab w:val="right" w:pos="10800" w:leader="none"/>
        </w:tabs>
        <w:spacing w:before="0" w:after="40"/>
        <w:rPr/>
      </w:pPr>
      <w:r>
        <w:rPr>
          <w:rFonts w:eastAsia="Arial" w:cs="Arial"/>
          <w:i/>
          <w:iCs/>
          <w:sz w:val="18"/>
          <w:szCs w:val="18"/>
        </w:rPr>
        <w:t>Higher Secondary School Certificate (HSSC) – Commerce Stream</w:t>
      </w:r>
      <w:r>
        <w:rPr>
          <w:rFonts w:eastAsia="Arial" w:cs="Arial"/>
          <w:sz w:val="18"/>
          <w:szCs w:val="18"/>
        </w:rPr>
        <w:tab/>
      </w:r>
      <w:r>
        <w:rPr>
          <w:rFonts w:eastAsia="Arial" w:cs="Arial"/>
          <w:i/>
          <w:iCs/>
          <w:sz w:val="18"/>
          <w:szCs w:val="18"/>
        </w:rPr>
        <w:t>Jun 2022 – Apr 2024</w:t>
      </w:r>
    </w:p>
    <w:p>
      <w:pPr>
        <w:pStyle w:val="Normal"/>
        <w:tabs>
          <w:tab w:val="clear" w:pos="720"/>
          <w:tab w:val="right" w:pos="10800" w:leader="none"/>
        </w:tabs>
        <w:spacing w:before="100" w:after="0"/>
        <w:rPr/>
      </w:pPr>
      <w:r>
        <w:rPr>
          <w:rFonts w:eastAsia="Arial" w:cs="Arial"/>
          <w:b/>
          <w:bCs/>
          <w:sz w:val="20"/>
          <w:szCs w:val="20"/>
        </w:rPr>
        <w:t>Murgaon High School</w:t>
      </w:r>
      <w:r>
        <w:rPr>
          <w:rFonts w:eastAsia="Arial" w:cs="Arial"/>
          <w:sz w:val="20"/>
          <w:szCs w:val="20"/>
        </w:rPr>
        <w:tab/>
        <w:t>Sada, Goa</w:t>
      </w:r>
    </w:p>
    <w:p>
      <w:pPr>
        <w:pStyle w:val="Normal"/>
        <w:tabs>
          <w:tab w:val="clear" w:pos="720"/>
          <w:tab w:val="right" w:pos="10800" w:leader="none"/>
        </w:tabs>
        <w:spacing w:before="0" w:after="40"/>
        <w:rPr/>
      </w:pPr>
      <w:r>
        <w:rPr>
          <w:rFonts w:eastAsia="Arial" w:cs="Arial"/>
          <w:i/>
          <w:iCs/>
          <w:sz w:val="18"/>
          <w:szCs w:val="18"/>
        </w:rPr>
        <w:t>Secondary School Certificate (SSC)</w:t>
      </w:r>
      <w:r>
        <w:rPr>
          <w:rFonts w:eastAsia="Arial" w:cs="Arial"/>
          <w:sz w:val="18"/>
          <w:szCs w:val="18"/>
        </w:rPr>
        <w:tab/>
      </w:r>
      <w:r>
        <w:rPr>
          <w:rFonts w:eastAsia="Arial" w:cs="Arial"/>
          <w:i/>
          <w:iCs/>
          <w:sz w:val="18"/>
          <w:szCs w:val="18"/>
        </w:rPr>
        <w:t>Jun 2011 – Apr 2022</w:t>
      </w:r>
    </w:p>
    <w:p>
      <w:pPr>
        <w:pStyle w:val="Normal"/>
        <w:pBdr>
          <w:bottom w:val="single" w:sz="8" w:space="2" w:color="000000"/>
        </w:pBdr>
        <w:spacing w:before="180" w:after="80"/>
        <w:rPr/>
      </w:pPr>
      <w:r>
        <w:rPr>
          <w:rFonts w:eastAsia="Arial" w:cs="Arial"/>
          <w:b/>
          <w:bCs/>
          <w:caps/>
          <w:sz w:val="22"/>
          <w:szCs w:val="22"/>
        </w:rPr>
        <w:t>Professional Experience</w:t>
      </w:r>
    </w:p>
    <w:p>
      <w:pPr>
        <w:pStyle w:val="Normal"/>
        <w:tabs>
          <w:tab w:val="clear" w:pos="720"/>
          <w:tab w:val="right" w:pos="10800" w:leader="none"/>
        </w:tabs>
        <w:spacing w:before="100" w:after="0"/>
        <w:rPr/>
      </w:pPr>
      <w:r>
        <w:rPr>
          <w:rFonts w:eastAsia="Arial" w:cs="Arial"/>
          <w:b/>
          <w:bCs/>
          <w:sz w:val="20"/>
          <w:szCs w:val="20"/>
        </w:rPr>
        <w:t>AI Developer &amp; Financial Analyst (Self-Directed Build)</w:t>
      </w:r>
      <w:r>
        <w:rPr>
          <w:rFonts w:eastAsia="Arial" w:cs="Arial"/>
          <w:sz w:val="20"/>
          <w:szCs w:val="20"/>
        </w:rPr>
        <w:tab/>
        <w:t>Remote</w:t>
      </w:r>
    </w:p>
    <w:p>
      <w:pPr>
        <w:pStyle w:val="Normal"/>
        <w:tabs>
          <w:tab w:val="clear" w:pos="720"/>
          <w:tab w:val="right" w:pos="10800" w:leader="none"/>
        </w:tabs>
        <w:spacing w:before="0" w:after="40"/>
        <w:rPr/>
      </w:pPr>
      <w:r>
        <w:rPr>
          <w:rFonts w:eastAsia="Arial" w:cs="Arial"/>
          <w:i/>
          <w:iCs/>
          <w:sz w:val="18"/>
          <w:szCs w:val="18"/>
        </w:rPr>
        <w:t>Solo Creator – AI Equity Research Tool</w:t>
      </w:r>
      <w:r>
        <w:rPr>
          <w:rFonts w:eastAsia="Arial" w:cs="Arial"/>
          <w:sz w:val="18"/>
          <w:szCs w:val="18"/>
        </w:rPr>
        <w:tab/>
      </w:r>
      <w:r>
        <w:rPr>
          <w:rFonts w:eastAsia="Arial" w:cs="Arial"/>
          <w:i/>
          <w:iCs/>
          <w:sz w:val="18"/>
          <w:szCs w:val="18"/>
        </w:rPr>
        <w:t>Jun 2026</w:t>
      </w:r>
    </w:p>
    <w:p>
      <w:pPr>
        <w:pStyle w:val="ListParagraph"/>
        <w:numPr>
          <w:ilvl w:val="0"/>
          <w:numId w:val="3"/>
        </w:numPr>
        <w:spacing w:before="24" w:after="24"/>
        <w:rPr/>
      </w:pPr>
      <w:r>
        <w:rPr>
          <w:rFonts w:eastAsia="Arial" w:cs="Arial"/>
          <w:sz w:val="18"/>
          <w:szCs w:val="18"/>
        </w:rPr>
        <w:t>Solo-built and deployed a 2,850-line Streamlit application powered by Google Gemini 2.5 Flash API, hosted live on Hugging Face Spaces.</w:t>
      </w:r>
    </w:p>
    <w:p>
      <w:pPr>
        <w:pStyle w:val="ListParagraph"/>
        <w:numPr>
          <w:ilvl w:val="0"/>
          <w:numId w:val="1"/>
        </w:numPr>
        <w:spacing w:before="24" w:after="24"/>
        <w:rPr/>
      </w:pPr>
      <w:r>
        <w:rPr>
          <w:rFonts w:eastAsia="Arial" w:cs="Arial"/>
          <w:sz w:val="18"/>
          <w:szCs w:val="18"/>
        </w:rPr>
        <w:t>Engineered a parsing pipeline using PyMuPDF to extract 20–25 critical financial fields per fiscal year from corporate annual report PDFs.</w:t>
      </w:r>
    </w:p>
    <w:p>
      <w:pPr>
        <w:pStyle w:val="ListParagraph"/>
        <w:numPr>
          <w:ilvl w:val="0"/>
          <w:numId w:val="1"/>
        </w:numPr>
        <w:spacing w:before="24" w:after="24"/>
        <w:rPr/>
      </w:pPr>
      <w:r>
        <w:rPr>
          <w:rFonts w:eastAsia="Arial" w:cs="Arial"/>
          <w:sz w:val="18"/>
          <w:szCs w:val="18"/>
        </w:rPr>
        <w:t>Designed a custom scoring engine across 12 distinct sectors (FMCG, IT, NBFC, etc.) with custom KPI benchmarks and interpolated 0–100 scoring.</w:t>
      </w:r>
    </w:p>
    <w:p>
      <w:pPr>
        <w:pStyle w:val="ListParagraph"/>
        <w:numPr>
          <w:ilvl w:val="0"/>
          <w:numId w:val="1"/>
        </w:numPr>
        <w:spacing w:before="24" w:after="24"/>
        <w:rPr/>
      </w:pPr>
      <w:r>
        <w:rPr>
          <w:rFonts w:eastAsia="Arial" w:cs="Arial"/>
          <w:sz w:val="18"/>
          <w:szCs w:val="18"/>
        </w:rPr>
        <w:t>Automated generation of structured 9-section Word (.docx) reports with qualitative warning flags (going-concern, auditor comments, related-party transactions) and grade-to-signal rating mappings.</w:t>
      </w:r>
    </w:p>
    <w:p>
      <w:pPr>
        <w:pStyle w:val="Normal"/>
        <w:tabs>
          <w:tab w:val="clear" w:pos="720"/>
          <w:tab w:val="right" w:pos="10800" w:leader="none"/>
        </w:tabs>
        <w:spacing w:before="100" w:after="0"/>
        <w:rPr/>
      </w:pPr>
      <w:r>
        <w:rPr>
          <w:rFonts w:eastAsia="Arial" w:cs="Arial"/>
          <w:b/>
          <w:bCs/>
          <w:sz w:val="20"/>
          <w:szCs w:val="20"/>
        </w:rPr>
        <w:t>UptoSkills</w:t>
      </w:r>
      <w:r>
        <w:rPr>
          <w:rFonts w:eastAsia="Arial" w:cs="Arial"/>
          <w:sz w:val="20"/>
          <w:szCs w:val="20"/>
        </w:rPr>
        <w:tab/>
        <w:t>Remote, India</w:t>
      </w:r>
    </w:p>
    <w:p>
      <w:pPr>
        <w:pStyle w:val="Normal"/>
        <w:tabs>
          <w:tab w:val="clear" w:pos="720"/>
          <w:tab w:val="right" w:pos="10800" w:leader="none"/>
        </w:tabs>
        <w:spacing w:before="0" w:after="40"/>
        <w:rPr/>
      </w:pPr>
      <w:r>
        <w:rPr>
          <w:rFonts w:eastAsia="Arial" w:cs="Arial"/>
          <w:i/>
          <w:iCs/>
          <w:sz w:val="18"/>
          <w:szCs w:val="18"/>
        </w:rPr>
        <w:t>Finance Intern &amp; Domain Captain (AICTE National Internship Initiative)</w:t>
      </w:r>
      <w:r>
        <w:rPr>
          <w:rFonts w:eastAsia="Arial" w:cs="Arial"/>
          <w:sz w:val="18"/>
          <w:szCs w:val="18"/>
        </w:rPr>
        <w:tab/>
      </w:r>
      <w:r>
        <w:rPr>
          <w:rFonts w:eastAsia="Arial" w:cs="Arial"/>
          <w:i/>
          <w:iCs/>
          <w:sz w:val="18"/>
          <w:szCs w:val="18"/>
        </w:rPr>
        <w:t>Jan 2026 – May 2026</w:t>
      </w:r>
    </w:p>
    <w:p>
      <w:pPr>
        <w:pStyle w:val="ListParagraph"/>
        <w:numPr>
          <w:ilvl w:val="0"/>
          <w:numId w:val="1"/>
        </w:numPr>
        <w:spacing w:before="24" w:after="24"/>
        <w:rPr/>
      </w:pPr>
      <w:r>
        <w:rPr>
          <w:rFonts w:eastAsia="Arial" w:cs="Arial"/>
          <w:sz w:val="18"/>
          <w:szCs w:val="18"/>
        </w:rPr>
        <w:t>Selected as Domain Captain to lead a team of 8–9 interns, managing daily task allocation, status tracking, and mid-cycle onboarding.</w:t>
      </w:r>
    </w:p>
    <w:p>
      <w:pPr>
        <w:pStyle w:val="ListParagraph"/>
        <w:numPr>
          <w:ilvl w:val="0"/>
          <w:numId w:val="1"/>
        </w:numPr>
        <w:spacing w:before="24" w:after="24"/>
        <w:rPr/>
      </w:pPr>
      <w:r>
        <w:rPr>
          <w:rFonts w:eastAsia="Arial" w:cs="Arial"/>
          <w:sz w:val="18"/>
          <w:szCs w:val="18"/>
        </w:rPr>
        <w:t>Executed detailed Financial Parameter Analysis for 100+ public companies, modeling 65+ key financial ratios (P/E, EPS, ROE, ROCE, leverage) across FY2020–FY2024 in Advanced Excel.</w:t>
      </w:r>
    </w:p>
    <w:p>
      <w:pPr>
        <w:pStyle w:val="ListParagraph"/>
        <w:numPr>
          <w:ilvl w:val="0"/>
          <w:numId w:val="1"/>
        </w:numPr>
        <w:spacing w:before="24" w:after="24"/>
        <w:rPr/>
      </w:pPr>
      <w:r>
        <w:rPr>
          <w:rFonts w:eastAsia="Arial" w:cs="Arial"/>
          <w:sz w:val="18"/>
          <w:szCs w:val="18"/>
        </w:rPr>
        <w:t>Organized cohort group discussions and quizzes to strengthen team competency in corporate finance and accounting frameworks.</w:t>
      </w:r>
    </w:p>
    <w:p>
      <w:pPr>
        <w:pStyle w:val="Normal"/>
        <w:tabs>
          <w:tab w:val="clear" w:pos="720"/>
          <w:tab w:val="right" w:pos="10800" w:leader="none"/>
        </w:tabs>
        <w:spacing w:before="100" w:after="0"/>
        <w:rPr/>
      </w:pPr>
      <w:r>
        <w:rPr>
          <w:rFonts w:eastAsia="Arial" w:cs="Arial"/>
          <w:b/>
          <w:bCs/>
          <w:sz w:val="20"/>
          <w:szCs w:val="20"/>
        </w:rPr>
        <w:t>Precision Investments</w:t>
      </w:r>
      <w:r>
        <w:rPr>
          <w:rFonts w:eastAsia="Arial" w:cs="Arial"/>
          <w:sz w:val="20"/>
          <w:szCs w:val="20"/>
        </w:rPr>
        <w:tab/>
        <w:t>Panjim, Goa</w:t>
      </w:r>
    </w:p>
    <w:p>
      <w:pPr>
        <w:pStyle w:val="Normal"/>
        <w:tabs>
          <w:tab w:val="clear" w:pos="720"/>
          <w:tab w:val="right" w:pos="10800" w:leader="none"/>
        </w:tabs>
        <w:spacing w:before="0" w:after="40"/>
        <w:rPr/>
      </w:pPr>
      <w:r>
        <w:rPr>
          <w:rFonts w:eastAsia="Arial" w:cs="Arial"/>
          <w:i/>
          <w:iCs/>
          <w:sz w:val="18"/>
          <w:szCs w:val="18"/>
        </w:rPr>
        <w:t>Equity Research Intern &amp; Student Coordinator</w:t>
      </w:r>
      <w:r>
        <w:rPr>
          <w:rFonts w:eastAsia="Arial" w:cs="Arial"/>
          <w:sz w:val="18"/>
          <w:szCs w:val="18"/>
        </w:rPr>
        <w:tab/>
      </w:r>
      <w:r>
        <w:rPr>
          <w:rFonts w:eastAsia="Arial" w:cs="Arial"/>
          <w:i/>
          <w:iCs/>
          <w:sz w:val="18"/>
          <w:szCs w:val="18"/>
        </w:rPr>
        <w:t>Jan 2026 – Mar 2026</w:t>
      </w:r>
    </w:p>
    <w:p>
      <w:pPr>
        <w:pStyle w:val="ListParagraph"/>
        <w:numPr>
          <w:ilvl w:val="0"/>
          <w:numId w:val="1"/>
        </w:numPr>
        <w:spacing w:before="24" w:after="24"/>
        <w:rPr/>
      </w:pPr>
      <w:r>
        <w:rPr>
          <w:rFonts w:eastAsia="Arial" w:cs="Arial"/>
          <w:sz w:val="18"/>
          <w:szCs w:val="18"/>
        </w:rPr>
        <w:t>Analyzed a real client trading portfolio of INR 5,00,000 (INR 3L deployed at −5.67% returns); applied 15 ratios per stock to structure an INR 2L recovery strategy in undervalued defensive equities (Sagility, Colgate) — 3/4 calls validated within 3 months.</w:t>
      </w:r>
    </w:p>
    <w:p>
      <w:pPr>
        <w:pStyle w:val="ListParagraph"/>
        <w:numPr>
          <w:ilvl w:val="0"/>
          <w:numId w:val="1"/>
        </w:numPr>
        <w:spacing w:before="24" w:after="24"/>
        <w:rPr/>
      </w:pPr>
      <w:r>
        <w:rPr>
          <w:rFonts w:eastAsia="Arial" w:cs="Arial"/>
          <w:sz w:val="18"/>
          <w:szCs w:val="18"/>
        </w:rPr>
        <w:t>Reviewed a real INR 2.39 Crore family mutual fund portfolio (28 schemes across 3 members); identified a 14% SWP funding gap, detected fund overlaps, and recommended age-aligned asset rebalancing.</w:t>
      </w:r>
    </w:p>
    <w:p>
      <w:pPr>
        <w:pStyle w:val="ListParagraph"/>
        <w:numPr>
          <w:ilvl w:val="0"/>
          <w:numId w:val="1"/>
        </w:numPr>
        <w:spacing w:before="24" w:after="24"/>
        <w:rPr/>
      </w:pPr>
      <w:r>
        <w:rPr>
          <w:rFonts w:eastAsia="Arial" w:cs="Arial"/>
          <w:sz w:val="18"/>
          <w:szCs w:val="18"/>
        </w:rPr>
        <w:t>Conducted fundamental equity analysis, valuation, and write-ups for mid-cap firms including Dynamatic Technologies.</w:t>
      </w:r>
    </w:p>
    <w:p>
      <w:pPr>
        <w:pStyle w:val="Normal"/>
        <w:tabs>
          <w:tab w:val="clear" w:pos="720"/>
          <w:tab w:val="right" w:pos="10800" w:leader="none"/>
        </w:tabs>
        <w:spacing w:before="100" w:after="0"/>
        <w:rPr/>
      </w:pPr>
      <w:r>
        <w:rPr>
          <w:rFonts w:eastAsia="Arial" w:cs="Arial"/>
          <w:b/>
          <w:bCs/>
          <w:sz w:val="20"/>
          <w:szCs w:val="20"/>
        </w:rPr>
        <w:t>FICE Education</w:t>
      </w:r>
      <w:r>
        <w:rPr>
          <w:rFonts w:eastAsia="Arial" w:cs="Arial"/>
          <w:sz w:val="20"/>
          <w:szCs w:val="20"/>
        </w:rPr>
        <w:tab/>
        <w:t>Remote, India</w:t>
      </w:r>
    </w:p>
    <w:p>
      <w:pPr>
        <w:pStyle w:val="Normal"/>
        <w:tabs>
          <w:tab w:val="clear" w:pos="720"/>
          <w:tab w:val="right" w:pos="10800" w:leader="none"/>
        </w:tabs>
        <w:spacing w:before="0" w:after="40"/>
        <w:rPr/>
      </w:pPr>
      <w:r>
        <w:rPr>
          <w:rFonts w:eastAsia="Arial" w:cs="Arial"/>
          <w:i/>
          <w:iCs/>
          <w:sz w:val="18"/>
          <w:szCs w:val="18"/>
        </w:rPr>
        <w:t>Power BI Intern (Microsoft Elevate × AICTE Program)</w:t>
      </w:r>
      <w:r>
        <w:rPr>
          <w:rFonts w:eastAsia="Arial" w:cs="Arial"/>
          <w:sz w:val="18"/>
          <w:szCs w:val="18"/>
        </w:rPr>
        <w:tab/>
      </w:r>
      <w:r>
        <w:rPr>
          <w:rFonts w:eastAsia="Arial" w:cs="Arial"/>
          <w:i/>
          <w:iCs/>
          <w:sz w:val="18"/>
          <w:szCs w:val="18"/>
        </w:rPr>
        <w:t>Feb 2026 – Mar 2026</w:t>
      </w:r>
    </w:p>
    <w:p>
      <w:pPr>
        <w:pStyle w:val="ListParagraph"/>
        <w:numPr>
          <w:ilvl w:val="0"/>
          <w:numId w:val="1"/>
        </w:numPr>
        <w:spacing w:before="24" w:after="24"/>
        <w:rPr/>
      </w:pPr>
      <w:r>
        <w:rPr>
          <w:rFonts w:eastAsia="Arial" w:cs="Arial"/>
          <w:sz w:val="18"/>
          <w:szCs w:val="18"/>
        </w:rPr>
        <w:t>Developed a 3-page interactive performance dashboard in Power BI analyzing 250,000+ UPI transaction records using 9 custom DAX measures.</w:t>
      </w:r>
    </w:p>
    <w:p>
      <w:pPr>
        <w:pStyle w:val="ListParagraph"/>
        <w:numPr>
          <w:ilvl w:val="0"/>
          <w:numId w:val="1"/>
        </w:numPr>
        <w:spacing w:before="24" w:after="24"/>
        <w:rPr/>
      </w:pPr>
      <w:r>
        <w:rPr>
          <w:rFonts w:eastAsia="Arial" w:cs="Arial"/>
          <w:sz w:val="18"/>
          <w:szCs w:val="18"/>
        </w:rPr>
        <w:t>Designed data models and automated cleaning pipelines using Power Query to identify spending trends and fraud patterns.</w:t>
      </w:r>
    </w:p>
    <w:p>
      <w:pPr>
        <w:pStyle w:val="ListParagraph"/>
        <w:numPr>
          <w:ilvl w:val="0"/>
          <w:numId w:val="1"/>
        </w:numPr>
        <w:spacing w:before="24" w:after="24"/>
        <w:rPr/>
      </w:pPr>
      <w:r>
        <w:rPr>
          <w:rFonts w:eastAsia="Arial" w:cs="Arial"/>
          <w:sz w:val="18"/>
          <w:szCs w:val="18"/>
        </w:rPr>
        <w:t>Earned a co-branded Microsoft &amp; AICTE certification and completed 140+ hours across Azure, AI/ML, and Copilot tools.</w:t>
      </w:r>
    </w:p>
    <w:p>
      <w:pPr>
        <w:pStyle w:val="Normal"/>
        <w:pBdr>
          <w:bottom w:val="single" w:sz="8" w:space="2" w:color="000000"/>
        </w:pBdr>
        <w:spacing w:before="180" w:after="80"/>
        <w:rPr/>
      </w:pPr>
      <w:r>
        <w:rPr>
          <w:rFonts w:eastAsia="Arial" w:cs="Arial"/>
          <w:b/>
          <w:bCs/>
          <w:caps/>
          <w:sz w:val="22"/>
          <w:szCs w:val="22"/>
        </w:rPr>
        <w:t>Key Projects</w:t>
      </w:r>
    </w:p>
    <w:p>
      <w:pPr>
        <w:pStyle w:val="Normal"/>
        <w:tabs>
          <w:tab w:val="clear" w:pos="720"/>
          <w:tab w:val="right" w:pos="10800" w:leader="none"/>
        </w:tabs>
        <w:spacing w:before="100" w:after="28"/>
        <w:rPr/>
      </w:pPr>
      <w:r>
        <w:rPr>
          <w:rFonts w:eastAsia="Arial" w:cs="Arial"/>
          <w:b/>
          <w:bCs/>
          <w:sz w:val="20"/>
          <w:szCs w:val="20"/>
        </w:rPr>
        <w:t>AI Equity Research Assistant</w:t>
      </w:r>
      <w:r>
        <w:rPr>
          <w:rFonts w:eastAsia="Arial" w:cs="Arial"/>
          <w:sz w:val="18"/>
          <w:szCs w:val="18"/>
        </w:rPr>
        <w:t xml:space="preserve"> — </w:t>
      </w:r>
      <w:r>
        <w:rPr>
          <w:rFonts w:eastAsia="Arial" w:cs="Arial"/>
          <w:i/>
          <w:iCs/>
          <w:sz w:val="18"/>
          <w:szCs w:val="18"/>
        </w:rPr>
        <w:t>Streamlit, Gemini 2.5 Flash, python-docx, Hugging Face</w:t>
      </w:r>
      <w:r>
        <w:rPr>
          <w:rFonts w:eastAsia="Arial" w:cs="Arial"/>
          <w:sz w:val="18"/>
          <w:szCs w:val="18"/>
        </w:rPr>
        <w:tab/>
        <w:t>Jun 2026</w:t>
      </w:r>
    </w:p>
    <w:p>
      <w:pPr>
        <w:pStyle w:val="Normal"/>
        <w:spacing w:before="0" w:after="24"/>
        <w:ind w:start="180"/>
        <w:rPr/>
      </w:pPr>
      <w:r>
        <w:rPr>
          <w:rFonts w:eastAsia="Arial" w:cs="Arial"/>
          <w:sz w:val="18"/>
          <w:szCs w:val="18"/>
        </w:rPr>
        <w:t>Deployed a live AI-powered tool that parses corporate PDF annual reports and generates brokerage-grade equity research Word reports with sector-specific scoring.</w:t>
      </w:r>
    </w:p>
    <w:p>
      <w:pPr>
        <w:pStyle w:val="Normal"/>
        <w:tabs>
          <w:tab w:val="clear" w:pos="720"/>
          <w:tab w:val="right" w:pos="10800" w:leader="none"/>
        </w:tabs>
        <w:spacing w:before="100" w:after="28"/>
        <w:rPr/>
      </w:pPr>
      <w:r>
        <w:rPr>
          <w:rFonts w:eastAsia="Arial" w:cs="Arial"/>
          <w:b/>
          <w:bCs/>
          <w:sz w:val="20"/>
          <w:szCs w:val="20"/>
        </w:rPr>
        <w:t>UPI Transaction Performance Dashboard</w:t>
      </w:r>
      <w:r>
        <w:rPr>
          <w:rFonts w:eastAsia="Arial" w:cs="Arial"/>
          <w:sz w:val="18"/>
          <w:szCs w:val="18"/>
        </w:rPr>
        <w:t xml:space="preserve"> — </w:t>
      </w:r>
      <w:r>
        <w:rPr>
          <w:rFonts w:eastAsia="Arial" w:cs="Arial"/>
          <w:i/>
          <w:iCs/>
          <w:sz w:val="18"/>
          <w:szCs w:val="18"/>
        </w:rPr>
        <w:t>Power BI, DAX, Power Query</w:t>
      </w:r>
      <w:r>
        <w:rPr>
          <w:rFonts w:eastAsia="Arial" w:cs="Arial"/>
          <w:sz w:val="18"/>
          <w:szCs w:val="18"/>
        </w:rPr>
        <w:tab/>
        <w:t>Mar 2026</w:t>
      </w:r>
    </w:p>
    <w:p>
      <w:pPr>
        <w:pStyle w:val="Normal"/>
        <w:spacing w:before="0" w:after="24"/>
        <w:ind w:start="180"/>
        <w:rPr/>
      </w:pPr>
      <w:r>
        <w:rPr>
          <w:rFonts w:eastAsia="Arial" w:cs="Arial"/>
          <w:sz w:val="18"/>
          <w:szCs w:val="18"/>
        </w:rPr>
        <w:t>Analyzed 250,000+ digital transaction records to map success rates, regional volume, fraud spend, and demographic patterns across a 3-page interactive dashboard.</w:t>
      </w:r>
    </w:p>
    <w:p>
      <w:pPr>
        <w:pStyle w:val="Normal"/>
        <w:tabs>
          <w:tab w:val="clear" w:pos="720"/>
          <w:tab w:val="right" w:pos="10800" w:leader="none"/>
        </w:tabs>
        <w:spacing w:before="100" w:after="28"/>
        <w:rPr/>
      </w:pPr>
      <w:r>
        <w:rPr>
          <w:rFonts w:eastAsia="Arial" w:cs="Arial"/>
          <w:b/>
          <w:bCs/>
          <w:sz w:val="20"/>
          <w:szCs w:val="20"/>
        </w:rPr>
        <w:t>Client Portfolio Restructuring &amp; Recovery Hedges</w:t>
      </w:r>
      <w:r>
        <w:rPr>
          <w:rFonts w:eastAsia="Arial" w:cs="Arial"/>
          <w:sz w:val="18"/>
          <w:szCs w:val="18"/>
        </w:rPr>
        <w:t xml:space="preserve"> — </w:t>
      </w:r>
      <w:r>
        <w:rPr>
          <w:rFonts w:eastAsia="Arial" w:cs="Arial"/>
          <w:i/>
          <w:iCs/>
          <w:sz w:val="18"/>
          <w:szCs w:val="18"/>
        </w:rPr>
        <w:t>Excel, Screener.in, Value Research Online</w:t>
      </w:r>
      <w:r>
        <w:rPr>
          <w:rFonts w:eastAsia="Arial" w:cs="Arial"/>
          <w:sz w:val="18"/>
          <w:szCs w:val="18"/>
        </w:rPr>
        <w:tab/>
        <w:t>Mar 2026</w:t>
      </w:r>
    </w:p>
    <w:p>
      <w:pPr>
        <w:pStyle w:val="Normal"/>
        <w:spacing w:before="0" w:after="24"/>
        <w:ind w:start="180"/>
        <w:rPr/>
      </w:pPr>
      <w:r>
        <w:rPr>
          <w:rFonts w:eastAsia="Arial" w:cs="Arial"/>
          <w:sz w:val="18"/>
          <w:szCs w:val="18"/>
        </w:rPr>
        <w:t>Formulated a real-money INR 2L recovery deployment strategy and audited INR 2.39 Crore mutual fund asset allocation for a family retirement portfolio.</w:t>
      </w:r>
    </w:p>
    <w:p>
      <w:pPr>
        <w:pStyle w:val="Normal"/>
        <w:pBdr>
          <w:bottom w:val="single" w:sz="8" w:space="2" w:color="000000"/>
        </w:pBdr>
        <w:spacing w:before="180" w:after="80"/>
        <w:rPr/>
      </w:pPr>
      <w:r>
        <w:rPr>
          <w:rFonts w:eastAsia="Arial" w:cs="Arial"/>
          <w:b/>
          <w:bCs/>
          <w:caps/>
          <w:sz w:val="22"/>
          <w:szCs w:val="22"/>
        </w:rPr>
        <w:t>Skills &amp; Competencies</w:t>
      </w:r>
    </w:p>
    <w:p>
      <w:pPr>
        <w:pStyle w:val="Normal"/>
        <w:spacing w:before="28" w:after="28"/>
        <w:rPr/>
      </w:pPr>
      <w:r>
        <w:rPr>
          <w:rFonts w:eastAsia="Arial" w:cs="Arial"/>
          <w:b/>
          <w:bCs/>
          <w:sz w:val="18"/>
          <w:szCs w:val="18"/>
        </w:rPr>
        <w:t xml:space="preserve">Finance &amp; Research: </w:t>
      </w:r>
      <w:r>
        <w:rPr>
          <w:rFonts w:eastAsia="Arial" w:cs="Arial"/>
          <w:sz w:val="18"/>
          <w:szCs w:val="18"/>
        </w:rPr>
        <w:t>Equity Research, Corporate Valuation (DCF, Multiples), 3-Statement Modeling, Financial Ratio Analysis, Portfolio Management, Mutual Funds, Screener.in, Value Research Online</w:t>
      </w:r>
    </w:p>
    <w:p>
      <w:pPr>
        <w:pStyle w:val="Normal"/>
        <w:spacing w:before="28" w:after="28"/>
        <w:rPr/>
      </w:pPr>
      <w:r>
        <w:rPr>
          <w:rFonts w:eastAsia="Arial" w:cs="Arial"/>
          <w:b/>
          <w:bCs/>
          <w:sz w:val="18"/>
          <w:szCs w:val="18"/>
        </w:rPr>
        <w:t xml:space="preserve">BI &amp; Data Analytics: </w:t>
      </w:r>
      <w:r>
        <w:rPr>
          <w:rFonts w:eastAsia="Arial" w:cs="Arial"/>
          <w:sz w:val="18"/>
          <w:szCs w:val="18"/>
        </w:rPr>
        <w:t>Power BI, DAX, Power Query, Advanced Excel (XLOOKUP, Pivot Tables, Formulas), Data Modeling</w:t>
      </w:r>
    </w:p>
    <w:p>
      <w:pPr>
        <w:pStyle w:val="Normal"/>
        <w:spacing w:before="28" w:after="28"/>
        <w:rPr/>
      </w:pPr>
      <w:r>
        <w:rPr>
          <w:rFonts w:eastAsia="Arial" w:cs="Arial"/>
          <w:b/>
          <w:bCs/>
          <w:sz w:val="18"/>
          <w:szCs w:val="18"/>
        </w:rPr>
        <w:t xml:space="preserve">AI &amp; Developer Tools: </w:t>
      </w:r>
      <w:r>
        <w:rPr>
          <w:rFonts w:eastAsia="Arial" w:cs="Arial"/>
          <w:sz w:val="18"/>
          <w:szCs w:val="18"/>
        </w:rPr>
        <w:t>Google Gemini API, Streamlit, Hugging Face Spaces, Python (pandas, PyMuPDF, python-docx), GitHub</w:t>
      </w:r>
    </w:p>
    <w:p>
      <w:pPr>
        <w:pStyle w:val="Normal"/>
        <w:spacing w:before="28" w:after="28"/>
        <w:rPr/>
      </w:pPr>
      <w:r>
        <w:rPr>
          <w:rFonts w:eastAsia="Arial" w:cs="Arial"/>
          <w:b/>
          <w:bCs/>
          <w:sz w:val="18"/>
          <w:szCs w:val="18"/>
        </w:rPr>
        <w:t xml:space="preserve">Leadership &amp; Soft Skills: </w:t>
      </w:r>
      <w:r>
        <w:rPr>
          <w:rFonts w:eastAsia="Arial" w:cs="Arial"/>
          <w:sz w:val="18"/>
          <w:szCs w:val="18"/>
        </w:rPr>
        <w:t>Team Leadership, Task Allocation &amp; Status Tracking, Project Coordination, Structured Problem-Solving</w:t>
      </w:r>
    </w:p>
    <w:p>
      <w:pPr>
        <w:pStyle w:val="Normal"/>
        <w:pBdr>
          <w:bottom w:val="single" w:sz="8" w:space="2" w:color="000000"/>
        </w:pBdr>
        <w:spacing w:before="180" w:after="80"/>
        <w:rPr/>
      </w:pPr>
      <w:r>
        <w:rPr>
          <w:rFonts w:eastAsia="Arial" w:cs="Arial"/>
          <w:b/>
          <w:bCs/>
          <w:caps/>
          <w:sz w:val="22"/>
          <w:szCs w:val="22"/>
        </w:rPr>
        <w:t>Certifications &amp; Leadership</w:t>
      </w:r>
    </w:p>
    <w:p>
      <w:pPr>
        <w:pStyle w:val="Normal"/>
        <w:tabs>
          <w:tab w:val="clear" w:pos="720"/>
          <w:tab w:val="right" w:pos="10800" w:leader="none"/>
        </w:tabs>
        <w:spacing w:before="28" w:after="28"/>
        <w:rPr/>
      </w:pPr>
      <w:r>
        <w:rPr>
          <w:rFonts w:eastAsia="Arial" w:cs="Arial"/>
          <w:sz w:val="18"/>
          <w:szCs w:val="18"/>
        </w:rPr>
        <w:t>McKinsey Forward Learner – Selective 10-week program on business frameworks &amp; structured problem-solving</w:t>
        <w:tab/>
        <w:t>2026</w:t>
      </w:r>
    </w:p>
    <w:p>
      <w:pPr>
        <w:pStyle w:val="Normal"/>
        <w:tabs>
          <w:tab w:val="clear" w:pos="720"/>
          <w:tab w:val="right" w:pos="10800" w:leader="none"/>
        </w:tabs>
        <w:spacing w:before="28" w:after="28"/>
        <w:rPr/>
      </w:pPr>
      <w:r>
        <w:rPr>
          <w:rFonts w:eastAsia="Arial" w:cs="Arial"/>
          <w:sz w:val="18"/>
          <w:szCs w:val="18"/>
        </w:rPr>
        <w:t>Finance Domain Captain – Led 8–9 interns in AICTE-UptoSkills national corporate analysis cohort  (ID: US-INT-2026-FESS25B)</w:t>
        <w:tab/>
        <w:t>2026</w:t>
      </w:r>
    </w:p>
    <w:p>
      <w:pPr>
        <w:pStyle w:val="Normal"/>
        <w:tabs>
          <w:tab w:val="clear" w:pos="720"/>
          <w:tab w:val="right" w:pos="10800" w:leader="none"/>
        </w:tabs>
        <w:spacing w:before="28" w:after="28"/>
        <w:rPr/>
      </w:pPr>
      <w:r>
        <w:rPr>
          <w:rFonts w:eastAsia="Arial" w:cs="Arial"/>
          <w:sz w:val="18"/>
          <w:szCs w:val="18"/>
        </w:rPr>
        <w:t>Business Intelligence: Advanced Excel &amp; Power BI – ExcelR EdTech  (ID: 130582/EXCELR/EDL/26022026)</w:t>
        <w:tab/>
        <w:t>2026</w:t>
      </w:r>
    </w:p>
    <w:p>
      <w:pPr>
        <w:pStyle w:val="Normal"/>
        <w:tabs>
          <w:tab w:val="clear" w:pos="720"/>
          <w:tab w:val="right" w:pos="10800" w:leader="none"/>
        </w:tabs>
        <w:spacing w:before="28" w:after="28"/>
        <w:rPr/>
      </w:pPr>
      <w:r>
        <w:rPr>
          <w:rFonts w:eastAsia="Arial" w:cs="Arial"/>
          <w:sz w:val="18"/>
          <w:szCs w:val="18"/>
        </w:rPr>
        <w:t>Equity Research &amp; Portfolio Strategy – Don Bosco College IQAC Industry Program</w:t>
        <w:tab/>
        <w:t>2026</w:t>
      </w:r>
    </w:p>
    <w:p>
      <w:pPr>
        <w:pStyle w:val="Normal"/>
        <w:tabs>
          <w:tab w:val="clear" w:pos="720"/>
          <w:tab w:val="right" w:pos="10800" w:leader="none"/>
        </w:tabs>
        <w:spacing w:before="28" w:after="28"/>
        <w:rPr/>
      </w:pPr>
      <w:r>
        <w:rPr>
          <w:rFonts w:eastAsia="Arial" w:cs="Arial"/>
          <w:sz w:val="18"/>
          <w:szCs w:val="18"/>
        </w:rPr>
        <w:t>Advanced Excel with AI – Internshala</w:t>
        <w:tab/>
        <w:t>2025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start"/>
      <w:pPr>
        <w:tabs>
          <w:tab w:val="num" w:pos="0"/>
        </w:tabs>
        <w:ind w:start="360" w:hanging="20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IN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0"/>
      <w:szCs w:val="20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IN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LibreOffice/26.2.0.3$Windows_X86_64 LibreOffice_project/620$Build-3</Application>
  <AppVersion>15.0000</AppVersion>
  <Pages>2</Pages>
  <Words>676</Words>
  <Characters>4221</Characters>
  <CharactersWithSpaces>4866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2026-06-17T03:30:29Z</dcterms:created>
  <dc:creator>Un-named</dc:creator>
  <dc:description/>
  <dc:language>en-IN</dc:language>
  <cp:lastModifiedBy/>
  <dcterms:modified xsi:type="dcterms:W3CDTF">2026-06-17T09:04:17Z</dcterms:modified>
  <cp:revision>2</cp:revision>
  <dc:subject/>
  <dc:title/>
</cp:coreProperties>
</file>