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Northlight Robotics GmbH — Technical Capability Statement</w:t>
      </w:r>
    </w:p>
    <w:p>
      <w:pPr>
        <w:pStyle w:val="Heading2"/>
      </w:pPr>
      <w:r>
        <w:t>1. Autonomous Navigation</w:t>
      </w:r>
    </w:p>
    <w:p>
      <w:r>
        <w:t>Our proprietary SLAM (Simultaneous Localisation and Mapping) stack enables fully autonomous flight in GPS-denied industrial environments such as beneath crane gantries, inside cargo holds, and around steel superstructures. Positioning accuracy: ±5 cm without external beacons. The stack has accumulated over 3,000 operational flight hours.</w:t>
      </w:r>
    </w:p>
    <w:p>
      <w:pPr>
        <w:pStyle w:val="Heading2"/>
      </w:pPr>
      <w:r>
        <w:t>2. AI Defect Detection</w:t>
      </w:r>
    </w:p>
    <w:p>
      <w:r>
        <w:t>CorrosionScan's vision models detect and classify seven defect categories (surface corrosion, pitting, cracking, coating failure, deformation, water ingress, weld fatigue) at 94% precision and 89% recall on our validated EU port dataset. Inference runs entirely on-board in under 900 ms — no cloud connectivity required during inspection runs.</w:t>
      </w:r>
    </w:p>
    <w:p>
      <w:pPr>
        <w:pStyle w:val="Heading2"/>
      </w:pPr>
      <w:r>
        <w:t>3. Certification and Compliance Experience</w:t>
      </w:r>
    </w:p>
    <w:p>
      <w:r>
        <w:t>We maintain ISO 9001:2015 quality management and have completed conformity assessments with TÜV SÜD for the machinery directive. Our team includes a dedicated compliance lead experienced with EU regulation 2023/1230 (machinery products) and data-protection compliant aerial operations under EASA open category.</w:t>
      </w:r>
    </w:p>
    <w:p>
      <w:pPr>
        <w:pStyle w:val="Heading2"/>
      </w:pPr>
      <w:r>
        <w:t>4. Relevant Project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PortScan DE (2023–2024)</w:t>
            </w:r>
          </w:p>
        </w:tc>
        <w:tc>
          <w:tcPr>
            <w:tcW w:type="dxa" w:w="2880"/>
          </w:tcPr>
          <w:p>
            <w:r>
              <w:t>Coordinator</w:t>
            </w:r>
          </w:p>
        </w:tc>
        <w:tc>
          <w:tcPr>
            <w:tcW w:type="dxa" w:w="2880"/>
          </w:tcPr>
          <w:p>
            <w:r>
              <w:t>Automated inspection of 400 crane structures, Hamburg</w:t>
            </w:r>
          </w:p>
        </w:tc>
      </w:tr>
      <w:tr>
        <w:tc>
          <w:tcPr>
            <w:tcW w:type="dxa" w:w="2880"/>
          </w:tcPr>
          <w:p>
            <w:r>
              <w:t>MARINVISION (2024–ongoing)</w:t>
            </w:r>
          </w:p>
        </w:tc>
        <w:tc>
          <w:tcPr>
            <w:tcW w:type="dxa" w:w="2880"/>
          </w:tcPr>
          <w:p>
            <w:r>
              <w:t>Technical lead</w:t>
            </w:r>
          </w:p>
        </w:tc>
        <w:tc>
          <w:tcPr>
            <w:tcW w:type="dxa" w:w="2880"/>
          </w:tcPr>
          <w:p>
            <w:r>
              <w:t>Multi-sensor corrosion mapping, Valencia</w:t>
            </w:r>
          </w:p>
        </w:tc>
      </w:tr>
      <w:tr>
        <w:tc>
          <w:tcPr>
            <w:tcW w:type="dxa" w:w="2880"/>
          </w:tcPr>
          <w:p>
            <w:r>
              <w:t>KIBA-Bavaria grant (2022)</w:t>
            </w:r>
          </w:p>
        </w:tc>
        <w:tc>
          <w:tcPr>
            <w:tcW w:type="dxa" w:w="2880"/>
          </w:tcPr>
          <w:p>
            <w:r>
              <w:t>Sole beneficiary</w:t>
            </w:r>
          </w:p>
        </w:tc>
        <w:tc>
          <w:tcPr>
            <w:tcW w:type="dxa" w:w="2880"/>
          </w:tcPr>
          <w:p>
            <w:r>
              <w:t>TRL 6→7 advancement of CorrosionScan core</w:t>
            </w:r>
          </w:p>
        </w:tc>
      </w:tr>
    </w:tbl>
    <w:p/>
    <w:p>
      <w:pPr>
        <w:pStyle w:val="Heading2"/>
      </w:pPr>
      <w:r>
        <w:t>5. Contact</w:t>
      </w:r>
    </w:p>
    <w:p>
      <w:r>
        <w:t>Dr. Elena Fischer, CTO — elena.fischer@northlight-robotics.example — Munich, Germany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