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92469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กระบวนการบริหารและการจัดการ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6C25F0">
        <w:rPr>
          <w:rFonts w:ascii="TH SarabunPSK" w:hAnsi="TH SarabunPSK" w:cs="TH SarabunPSK"/>
          <w:b/>
          <w:bCs/>
          <w:sz w:val="32"/>
          <w:szCs w:val="32"/>
        </w:rPr>
        <w:t>2.6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6C25F0">
        <w:rPr>
          <w:rFonts w:ascii="TH SarabunIT๙" w:eastAsia="Cordia New" w:hAnsi="TH SarabunIT๙" w:cs="TH SarabunIT๙" w:hint="cs"/>
          <w:sz w:val="32"/>
          <w:szCs w:val="32"/>
          <w:cs/>
        </w:rPr>
        <w:t>มีระบบบริหารคุณภาพที่เปิดโอกาสให้ผู้เกี่ยวข้องทุกฝ่ายมีส่วนร่วม</w:t>
      </w:r>
    </w:p>
    <w:p w:rsidR="004B527D" w:rsidRPr="00823326" w:rsidRDefault="00534975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567"/>
        <w:gridCol w:w="567"/>
        <w:gridCol w:w="567"/>
        <w:gridCol w:w="567"/>
        <w:gridCol w:w="567"/>
      </w:tblGrid>
      <w:tr w:rsidR="00951F91" w:rsidRPr="00951F91" w:rsidTr="00951F91">
        <w:trPr>
          <w:cantSplit/>
        </w:trPr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F1DD7">
              <w:rPr>
                <w:rFonts w:ascii="TH SarabunIT๙" w:eastAsia="Cordia New" w:hAnsi="TH SarabunIT๙" w:cs="TH SarabunIT๙" w:hint="cs"/>
                <w:b/>
                <w:bCs/>
                <w:sz w:val="28"/>
                <w:cs/>
                <w:lang w:val="x-none" w:eastAsia="x-none"/>
              </w:rPr>
              <w:t>ประเด็นพิจารณา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  <w:lang w:val="x-none" w:eastAsia="x-none"/>
              </w:rPr>
              <w:t>ระดับคุณภาพตัวบ่งชี้/มาตรฐาน</w:t>
            </w:r>
          </w:p>
        </w:tc>
      </w:tr>
      <w:tr w:rsidR="00951F91" w:rsidRPr="00951F91" w:rsidTr="00951F91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๑</w:t>
            </w: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6C25F0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1) </w:t>
            </w:r>
            <w:r w:rsidR="00AB3D26">
              <w:rPr>
                <w:rFonts w:ascii="TH SarabunIT๙" w:eastAsia="Calibri" w:hAnsi="TH SarabunIT๙" w:cs="TH SarabunIT๙" w:hint="cs"/>
                <w:sz w:val="28"/>
                <w:cs/>
              </w:rPr>
              <w:t>สถานศึกษา</w:t>
            </w:r>
            <w:r w:rsidR="006C25F0">
              <w:rPr>
                <w:rFonts w:ascii="TH SarabunIT๙" w:eastAsia="Calibri" w:hAnsi="TH SarabunIT๙" w:cs="TH SarabunIT๙" w:hint="cs"/>
                <w:sz w:val="28"/>
                <w:cs/>
              </w:rPr>
              <w:t>กำหนดมาตรฐานการศึกษาของสถานศึกษาที่สอดคล้องกับมาตรฐานการศึกษาปฐมวัย และอัตลักษณ์ที่สถานศึกษากำหนด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6C25F0">
            <w:pPr>
              <w:rPr>
                <w:rFonts w:ascii="TH SarabunIT๙" w:eastAsia="Calibri" w:hAnsi="TH SarabunIT๙" w:cs="TH SarabunIT๙"/>
                <w:sz w:val="28"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2) </w:t>
            </w:r>
            <w:r w:rsidR="006C25F0">
              <w:rPr>
                <w:rFonts w:ascii="TH SarabunIT๙" w:eastAsia="Calibri" w:hAnsi="TH SarabunIT๙" w:cs="TH SarabunIT๙" w:hint="cs"/>
                <w:sz w:val="28"/>
                <w:cs/>
              </w:rPr>
              <w:t>จัดทำแผนพัฒนาการศึกษาของสถานศึกษาที่สอดรับกับมาตรฐานที่สถานศึกษากำหนดและดำเนินการตามแผน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6C25F0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3) </w:t>
            </w:r>
            <w:r w:rsidR="006C25F0">
              <w:rPr>
                <w:rFonts w:ascii="TH SarabunIT๙" w:eastAsia="Calibri" w:hAnsi="TH SarabunIT๙" w:cs="TH SarabunIT๙" w:hint="cs"/>
                <w:sz w:val="28"/>
                <w:cs/>
              </w:rPr>
              <w:t>มีการประเมินผลและตรวจสอบคุณภาพภายในของสถานศึกษา ติดตามผลการดำเนินงาน และจัดทำรายงานผลการประเมินตนเองประจำปี</w:t>
            </w:r>
            <w:r w:rsidR="00AB3D26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6C25F0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4) </w:t>
            </w:r>
            <w:r w:rsidR="006C25F0">
              <w:rPr>
                <w:rFonts w:ascii="TH SarabunIT๙" w:eastAsia="Calibri" w:hAnsi="TH SarabunIT๙" w:cs="TH SarabunIT๙" w:hint="cs"/>
                <w:sz w:val="28"/>
                <w:cs/>
              </w:rPr>
              <w:t>นำผลการประเมินไปปรับปรุงและพัฒนาคุณภาพสถานศึกษา โดยผู้ปครองและผู้เกี่ยวข้องทุกฝ่ายมีส่วนร่วมและจัดส่งรายงานผลการประเมินตนเองให้หน่วยงานต้นสังกั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</w:tbl>
    <w:p w:rsidR="004B527D" w:rsidRPr="00534975" w:rsidRDefault="004B527D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369" w:tblpY="-18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47"/>
      </w:tblGrid>
      <w:tr w:rsidR="004B527D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lastRenderedPageBreak/>
              <w:t>ระดับ</w:t>
            </w:r>
          </w:p>
        </w:tc>
        <w:tc>
          <w:tcPr>
            <w:tcW w:w="8647" w:type="dxa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คำอธิบายระดับคุณภาพ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ยอดเยี่ยม</w:t>
            </w:r>
          </w:p>
        </w:tc>
        <w:tc>
          <w:tcPr>
            <w:tcW w:w="8647" w:type="dxa"/>
          </w:tcPr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063E72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 และจัดให้มีชุมชนการเรียนรู้ทางวิชาชีพจัดสภาพแวดล้อมอย่างปลอดภัย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มีระบบบริหารจัดการคุณภาพของสถานศึกษาที่เหมาะสมแล</w:t>
            </w:r>
            <w:r>
              <w:rPr>
                <w:rFonts w:ascii="TH SarabunPSK" w:hAnsi="TH SarabunPSK" w:cs="TH SarabunPSK"/>
                <w:cs/>
              </w:rPr>
              <w:t>ะต่อเนื่อง มีการชี้แนะ</w:t>
            </w:r>
            <w:r>
              <w:rPr>
                <w:rFonts w:ascii="TH SarabunPSK" w:hAnsi="TH SarabunPSK" w:cs="TH SarabunPSK" w:hint="cs"/>
                <w:cs/>
              </w:rPr>
              <w:t>ระหว่างการปฏิบัติงานที่ส่ง</w:t>
            </w:r>
            <w:r>
              <w:rPr>
                <w:rFonts w:ascii="TH SarabunPSK" w:hAnsi="TH SarabunPSK" w:cs="TH SarabunPSK"/>
                <w:cs/>
              </w:rPr>
              <w:t>ผลต่อคุณ</w:t>
            </w:r>
            <w:r w:rsidRPr="009F1DD7">
              <w:rPr>
                <w:rFonts w:ascii="TH SarabunPSK" w:hAnsi="TH SarabunPSK" w:cs="TH SarabunPSK"/>
                <w:cs/>
              </w:rPr>
              <w:t>ภาพตามมาตรฐานของสถานศึกษา บูรณา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ดีเลิศ</w:t>
            </w:r>
          </w:p>
        </w:tc>
        <w:tc>
          <w:tcPr>
            <w:tcW w:w="8647" w:type="dxa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EB5FC5" w:rsidRPr="009F1DD7" w:rsidRDefault="009F1DD7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="00EB5FC5"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063E72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การชี้แนะระหว่างการปฏิบัติการปฏิบัติงานที่ส่งผลต่อคุณภาพมาตรฐานของสถานศึกษา บูรณาการการปฏิบัติงานและเปิดโอกาสให้ผู้เกี่ยวข้องทุกฝ่ายมีส่วนร่วม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ส่งผลต่อคุณภาพตามมาตรฐานของสถานศึกษา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ปานกลาง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05A7C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กำลัง</w:t>
            </w:r>
            <w:r w:rsidR="00DD5EED" w:rsidRPr="009F1DD7">
              <w:rPr>
                <w:rFonts w:ascii="TH SarabunPSK" w:hAnsi="TH SarabunPSK" w:cs="TH SarabunPSK"/>
                <w:cs/>
              </w:rPr>
              <w:t>พัฒนา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มีหลักสูตรสถานศึกษาที่ไม่ยืดหยุ่น ไม่สอดคล้องกับหลักสูตรการศึกษาปฐมวัยและบริบทของท้องถิ่น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841D0B" w:rsidRDefault="008420A1" w:rsidP="009F1D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6C25F0">
      <w:pgSz w:w="11906" w:h="16838"/>
      <w:pgMar w:top="85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092469"/>
    <w:rsid w:val="0024742E"/>
    <w:rsid w:val="003D47B8"/>
    <w:rsid w:val="00471782"/>
    <w:rsid w:val="004B527D"/>
    <w:rsid w:val="00534975"/>
    <w:rsid w:val="00592584"/>
    <w:rsid w:val="005B1210"/>
    <w:rsid w:val="006C25F0"/>
    <w:rsid w:val="007065F2"/>
    <w:rsid w:val="007238A7"/>
    <w:rsid w:val="00823326"/>
    <w:rsid w:val="00841D0B"/>
    <w:rsid w:val="008420A1"/>
    <w:rsid w:val="00843EAE"/>
    <w:rsid w:val="008611C9"/>
    <w:rsid w:val="008E5085"/>
    <w:rsid w:val="00943CC2"/>
    <w:rsid w:val="00951F91"/>
    <w:rsid w:val="009F1DD7"/>
    <w:rsid w:val="00A6775B"/>
    <w:rsid w:val="00A84C34"/>
    <w:rsid w:val="00AB3D26"/>
    <w:rsid w:val="00C10143"/>
    <w:rsid w:val="00C305EE"/>
    <w:rsid w:val="00D03661"/>
    <w:rsid w:val="00D05A7C"/>
    <w:rsid w:val="00D12FEE"/>
    <w:rsid w:val="00DB7893"/>
    <w:rsid w:val="00DD5EED"/>
    <w:rsid w:val="00EB5FC5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2019-04-06T15:07:00Z</dcterms:created>
  <dcterms:modified xsi:type="dcterms:W3CDTF">2019-04-06T15:07:00Z</dcterms:modified>
</cp:coreProperties>
</file>