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7152E" w:rsidRPr="00A7152E" w:rsidRDefault="00733C37" w:rsidP="00A7152E">
      <w:pPr>
        <w:spacing w:before="100" w:beforeAutospacing="1" w:after="100" w:afterAutospacing="1" w:line="240" w:lineRule="auto"/>
        <w:outlineLvl w:val="0"/>
        <w:rPr>
          <w:rFonts w:ascii="Times New Roman" w:eastAsia="Times New Roman" w:hAnsi="Times New Roman" w:cs="Times New Roman"/>
          <w:b/>
          <w:bCs/>
          <w:kern w:val="36"/>
          <w:sz w:val="44"/>
          <w:szCs w:val="44"/>
          <w:lang w:eastAsia="en-GB"/>
        </w:rPr>
      </w:pPr>
      <w:r>
        <w:rPr>
          <w:rFonts w:ascii="Times New Roman" w:eastAsia="Times New Roman" w:hAnsi="Times New Roman" w:cs="Times New Roman"/>
          <w:sz w:val="24"/>
          <w:szCs w:val="24"/>
          <w:lang w:eastAsia="en-GB"/>
        </w:rPr>
        <w:t xml:space="preserve">                 </w:t>
      </w:r>
      <w:r w:rsidR="00A7152E" w:rsidRPr="00A7152E">
        <w:rPr>
          <w:rFonts w:ascii="Times New Roman" w:eastAsia="Times New Roman" w:hAnsi="Times New Roman" w:cs="Times New Roman"/>
          <w:b/>
          <w:bCs/>
          <w:kern w:val="36"/>
          <w:sz w:val="44"/>
          <w:szCs w:val="44"/>
          <w:lang w:eastAsia="en-GB"/>
        </w:rPr>
        <w:t>CHAPTER FOUR</w:t>
      </w:r>
    </w:p>
    <w:p w:rsidR="00A7152E" w:rsidRPr="00A7152E" w:rsidRDefault="00A7152E" w:rsidP="00A7152E">
      <w:pPr>
        <w:spacing w:before="100" w:beforeAutospacing="1" w:after="100" w:afterAutospacing="1" w:line="240" w:lineRule="auto"/>
        <w:rPr>
          <w:rFonts w:ascii="Times New Roman" w:eastAsia="Times New Roman" w:hAnsi="Times New Roman" w:cs="Times New Roman"/>
          <w:b/>
          <w:sz w:val="24"/>
          <w:szCs w:val="24"/>
          <w:lang w:eastAsia="en-GB"/>
        </w:rPr>
      </w:pPr>
      <w:r w:rsidRPr="006971CE">
        <w:rPr>
          <w:rFonts w:ascii="Times New Roman" w:eastAsia="Times New Roman" w:hAnsi="Times New Roman" w:cs="Times New Roman"/>
          <w:sz w:val="24"/>
          <w:szCs w:val="24"/>
          <w:lang w:eastAsia="en-GB"/>
        </w:rPr>
        <w:t xml:space="preserve">   </w:t>
      </w:r>
      <w:r w:rsidRPr="006971CE">
        <w:rPr>
          <w:rFonts w:ascii="Times New Roman" w:eastAsia="Times New Roman" w:hAnsi="Times New Roman" w:cs="Times New Roman"/>
          <w:b/>
          <w:sz w:val="24"/>
          <w:szCs w:val="24"/>
          <w:lang w:eastAsia="en-GB"/>
        </w:rPr>
        <w:t xml:space="preserve"> FINDINGS AND ANALYSIS</w:t>
      </w:r>
    </w:p>
    <w:p w:rsidR="00A7152E" w:rsidRPr="00A7152E" w:rsidRDefault="00A7152E" w:rsidP="00A7152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GB"/>
        </w:rPr>
      </w:pPr>
      <w:r w:rsidRPr="006971CE">
        <w:rPr>
          <w:rFonts w:ascii="Times New Roman" w:eastAsia="Times New Roman" w:hAnsi="Times New Roman" w:cs="Times New Roman"/>
          <w:b/>
          <w:bCs/>
          <w:kern w:val="36"/>
          <w:sz w:val="24"/>
          <w:szCs w:val="24"/>
          <w:lang w:eastAsia="en-GB"/>
        </w:rPr>
        <w:t>4.1 Socio-Demographic Characteristics of Respondents</w:t>
      </w:r>
    </w:p>
    <w:p w:rsidR="00A7152E" w:rsidRPr="006971CE" w:rsidRDefault="00A7152E" w:rsidP="00A7152E">
      <w:pPr>
        <w:spacing w:before="100" w:beforeAutospacing="1" w:after="100" w:afterAutospacing="1" w:line="240" w:lineRule="auto"/>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Understanding the demographic profile of affected residents is essential for interpreting the nature and severity of the impacts. Respondents included farmers, traders, government employees, pensioners, and individuals in diverse informal occupations.</w:t>
      </w:r>
    </w:p>
    <w:p w:rsidR="00605220" w:rsidRPr="006971CE" w:rsidRDefault="00605220" w:rsidP="00605220">
      <w:pPr>
        <w:spacing w:line="360" w:lineRule="auto"/>
        <w:rPr>
          <w:rFonts w:ascii="Times New Roman" w:hAnsi="Times New Roman" w:cs="Times New Roman"/>
          <w:sz w:val="24"/>
          <w:szCs w:val="24"/>
        </w:rPr>
      </w:pPr>
      <w:r w:rsidRPr="006971CE">
        <w:rPr>
          <w:rFonts w:ascii="Times New Roman" w:hAnsi="Times New Roman" w:cs="Times New Roman"/>
          <w:sz w:val="24"/>
          <w:szCs w:val="24"/>
        </w:rPr>
        <w:t xml:space="preserve">Table 4.1 Respondents by sex, age, </w:t>
      </w:r>
      <w:proofErr w:type="spellStart"/>
      <w:r w:rsidRPr="006971CE">
        <w:rPr>
          <w:rFonts w:ascii="Times New Roman" w:hAnsi="Times New Roman" w:cs="Times New Roman"/>
          <w:sz w:val="24"/>
          <w:szCs w:val="24"/>
        </w:rPr>
        <w:t>martial</w:t>
      </w:r>
      <w:proofErr w:type="spellEnd"/>
      <w:r w:rsidRPr="006971CE">
        <w:rPr>
          <w:rFonts w:ascii="Times New Roman" w:hAnsi="Times New Roman" w:cs="Times New Roman"/>
          <w:sz w:val="24"/>
          <w:szCs w:val="24"/>
        </w:rPr>
        <w:t xml:space="preserve"> status, religion, educational and occupation status characteristics. </w:t>
      </w:r>
    </w:p>
    <w:tbl>
      <w:tblPr>
        <w:tblW w:w="7395"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1860"/>
        <w:gridCol w:w="1859"/>
        <w:gridCol w:w="1859"/>
        <w:gridCol w:w="1817"/>
      </w:tblGrid>
      <w:tr w:rsidR="00605220" w:rsidRPr="006971CE" w:rsidTr="00605220">
        <w:trPr>
          <w:trHeight w:val="213"/>
        </w:trPr>
        <w:tc>
          <w:tcPr>
            <w:tcW w:w="7398" w:type="dxa"/>
            <w:gridSpan w:val="4"/>
            <w:tcBorders>
              <w:top w:val="single" w:sz="6" w:space="0" w:color="000000"/>
              <w:left w:val="single" w:sz="6" w:space="0" w:color="000000"/>
              <w:bottom w:val="single" w:sz="6" w:space="0" w:color="000000"/>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 xml:space="preserve">table 1:  respondents' socio demographic characteristics  </w:t>
            </w:r>
          </w:p>
        </w:tc>
      </w:tr>
      <w:tr w:rsidR="00605220" w:rsidRPr="006971CE" w:rsidTr="00605220">
        <w:trPr>
          <w:trHeight w:val="213"/>
        </w:trPr>
        <w:tc>
          <w:tcPr>
            <w:tcW w:w="1860" w:type="dxa"/>
            <w:tcBorders>
              <w:top w:val="single" w:sz="6" w:space="0" w:color="000000"/>
              <w:left w:val="single" w:sz="6" w:space="0" w:color="000000"/>
              <w:bottom w:val="single" w:sz="6" w:space="0" w:color="000000"/>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Variables</w:t>
            </w:r>
          </w:p>
        </w:tc>
        <w:tc>
          <w:tcPr>
            <w:tcW w:w="1860" w:type="dxa"/>
            <w:tcBorders>
              <w:top w:val="single" w:sz="6" w:space="0" w:color="000000"/>
              <w:left w:val="single" w:sz="6" w:space="0" w:color="000000"/>
              <w:bottom w:val="single" w:sz="6" w:space="0" w:color="000000"/>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 xml:space="preserve">CATAGORY </w:t>
            </w:r>
          </w:p>
        </w:tc>
        <w:tc>
          <w:tcPr>
            <w:tcW w:w="1860" w:type="dxa"/>
            <w:tcBorders>
              <w:top w:val="single" w:sz="6" w:space="0" w:color="000000"/>
              <w:left w:val="single" w:sz="6" w:space="0" w:color="000000"/>
              <w:bottom w:val="single" w:sz="6" w:space="0" w:color="000000"/>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FREQUENCY (N)</w:t>
            </w:r>
          </w:p>
        </w:tc>
        <w:tc>
          <w:tcPr>
            <w:tcW w:w="1818" w:type="dxa"/>
            <w:tcBorders>
              <w:top w:val="single" w:sz="6" w:space="0" w:color="000000"/>
              <w:left w:val="single" w:sz="6" w:space="0" w:color="000000"/>
              <w:bottom w:val="single" w:sz="6" w:space="0" w:color="000000"/>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PERCENTAG (%)</w:t>
            </w:r>
          </w:p>
        </w:tc>
      </w:tr>
      <w:tr w:rsidR="00605220" w:rsidRPr="006971CE" w:rsidTr="00605220">
        <w:trPr>
          <w:trHeight w:val="213"/>
        </w:trPr>
        <w:tc>
          <w:tcPr>
            <w:tcW w:w="1860" w:type="dxa"/>
            <w:vMerge w:val="restart"/>
            <w:tcBorders>
              <w:top w:val="single" w:sz="6" w:space="0" w:color="000000"/>
              <w:left w:val="single" w:sz="6" w:space="0" w:color="000000"/>
              <w:bottom w:val="single" w:sz="2" w:space="0" w:color="000000"/>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 xml:space="preserve">        SEX</w:t>
            </w:r>
          </w:p>
        </w:tc>
        <w:tc>
          <w:tcPr>
            <w:tcW w:w="1860" w:type="dxa"/>
            <w:tcBorders>
              <w:top w:val="single" w:sz="6" w:space="0" w:color="000000"/>
              <w:left w:val="single" w:sz="6" w:space="0" w:color="000000"/>
              <w:bottom w:val="single" w:sz="6" w:space="0" w:color="000000"/>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male</w:t>
            </w:r>
          </w:p>
        </w:tc>
        <w:tc>
          <w:tcPr>
            <w:tcW w:w="1860" w:type="dxa"/>
            <w:tcBorders>
              <w:top w:val="single" w:sz="6" w:space="0" w:color="000000"/>
              <w:left w:val="single" w:sz="6" w:space="0" w:color="000000"/>
              <w:bottom w:val="single" w:sz="6" w:space="0" w:color="000000"/>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50</w:t>
            </w:r>
          </w:p>
        </w:tc>
        <w:tc>
          <w:tcPr>
            <w:tcW w:w="1818" w:type="dxa"/>
            <w:tcBorders>
              <w:top w:val="single" w:sz="6" w:space="0" w:color="000000"/>
              <w:left w:val="single" w:sz="6" w:space="0" w:color="000000"/>
              <w:bottom w:val="single" w:sz="6" w:space="0" w:color="000000"/>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50.5%</w:t>
            </w:r>
          </w:p>
        </w:tc>
      </w:tr>
      <w:tr w:rsidR="00605220" w:rsidRPr="006971CE" w:rsidTr="00605220">
        <w:trPr>
          <w:trHeight w:val="310"/>
        </w:trPr>
        <w:tc>
          <w:tcPr>
            <w:tcW w:w="7398" w:type="dxa"/>
            <w:vMerge/>
            <w:tcBorders>
              <w:top w:val="single" w:sz="6" w:space="0" w:color="000000"/>
              <w:left w:val="single" w:sz="6" w:space="0" w:color="000000"/>
              <w:bottom w:val="single" w:sz="2" w:space="0" w:color="000000"/>
              <w:right w:val="single" w:sz="6" w:space="0" w:color="000000"/>
            </w:tcBorders>
            <w:vAlign w:val="center"/>
            <w:hideMark/>
          </w:tcPr>
          <w:p w:rsidR="00605220" w:rsidRPr="006971CE" w:rsidRDefault="00605220">
            <w:pPr>
              <w:spacing w:after="0" w:line="240" w:lineRule="auto"/>
              <w:rPr>
                <w:rFonts w:ascii="Times New Roman" w:hAnsi="Times New Roman" w:cs="Times New Roman"/>
                <w:sz w:val="18"/>
                <w:szCs w:val="20"/>
              </w:rPr>
            </w:pPr>
          </w:p>
        </w:tc>
        <w:tc>
          <w:tcPr>
            <w:tcW w:w="1860" w:type="dxa"/>
            <w:tcBorders>
              <w:top w:val="single" w:sz="6" w:space="0" w:color="000000"/>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female</w:t>
            </w:r>
          </w:p>
        </w:tc>
        <w:tc>
          <w:tcPr>
            <w:tcW w:w="1860" w:type="dxa"/>
            <w:tcBorders>
              <w:top w:val="single" w:sz="6" w:space="0" w:color="000000"/>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49</w:t>
            </w:r>
          </w:p>
        </w:tc>
        <w:tc>
          <w:tcPr>
            <w:tcW w:w="1818" w:type="dxa"/>
            <w:tcBorders>
              <w:top w:val="single" w:sz="6" w:space="0" w:color="000000"/>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49.5%</w:t>
            </w:r>
          </w:p>
        </w:tc>
      </w:tr>
      <w:tr w:rsidR="00605220" w:rsidRPr="006971CE" w:rsidTr="00605220">
        <w:trPr>
          <w:trHeight w:val="320"/>
        </w:trPr>
        <w:tc>
          <w:tcPr>
            <w:tcW w:w="7398" w:type="dxa"/>
            <w:vMerge/>
            <w:tcBorders>
              <w:top w:val="single" w:sz="6" w:space="0" w:color="000000"/>
              <w:left w:val="single" w:sz="6" w:space="0" w:color="000000"/>
              <w:bottom w:val="single" w:sz="2" w:space="0" w:color="000000"/>
              <w:right w:val="single" w:sz="6" w:space="0" w:color="000000"/>
            </w:tcBorders>
            <w:vAlign w:val="center"/>
            <w:hideMark/>
          </w:tcPr>
          <w:p w:rsidR="00605220" w:rsidRPr="006971CE" w:rsidRDefault="00605220">
            <w:pPr>
              <w:spacing w:after="0" w:line="240" w:lineRule="auto"/>
              <w:rPr>
                <w:rFonts w:ascii="Times New Roman" w:hAnsi="Times New Roman" w:cs="Times New Roman"/>
                <w:sz w:val="18"/>
                <w:szCs w:val="20"/>
              </w:rPr>
            </w:pPr>
          </w:p>
        </w:tc>
        <w:tc>
          <w:tcPr>
            <w:tcW w:w="1860" w:type="dxa"/>
            <w:tcBorders>
              <w:top w:val="single" w:sz="4" w:space="0" w:color="auto"/>
              <w:left w:val="single" w:sz="6" w:space="0" w:color="000000"/>
              <w:bottom w:val="single" w:sz="6" w:space="0" w:color="000000"/>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total</w:t>
            </w:r>
          </w:p>
        </w:tc>
        <w:tc>
          <w:tcPr>
            <w:tcW w:w="1860" w:type="dxa"/>
            <w:tcBorders>
              <w:top w:val="single" w:sz="4" w:space="0" w:color="auto"/>
              <w:left w:val="single" w:sz="6" w:space="0" w:color="000000"/>
              <w:bottom w:val="single" w:sz="6" w:space="0" w:color="000000"/>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99</w:t>
            </w:r>
          </w:p>
        </w:tc>
        <w:tc>
          <w:tcPr>
            <w:tcW w:w="1818" w:type="dxa"/>
            <w:tcBorders>
              <w:top w:val="single" w:sz="4" w:space="0" w:color="auto"/>
              <w:left w:val="single" w:sz="6" w:space="0" w:color="000000"/>
              <w:bottom w:val="single" w:sz="6" w:space="0" w:color="000000"/>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100%</w:t>
            </w:r>
          </w:p>
        </w:tc>
      </w:tr>
      <w:tr w:rsidR="00605220" w:rsidRPr="006971CE" w:rsidTr="00605220">
        <w:trPr>
          <w:trHeight w:val="213"/>
        </w:trPr>
        <w:tc>
          <w:tcPr>
            <w:tcW w:w="1860" w:type="dxa"/>
            <w:vMerge w:val="restart"/>
            <w:tcBorders>
              <w:top w:val="single" w:sz="6" w:space="0" w:color="000000"/>
              <w:left w:val="single" w:sz="4" w:space="0" w:color="auto"/>
              <w:bottom w:val="single" w:sz="4" w:space="0" w:color="auto"/>
              <w:right w:val="single" w:sz="6" w:space="0" w:color="000000"/>
            </w:tcBorders>
            <w:vAlign w:val="bottom"/>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 xml:space="preserve">         AGE </w:t>
            </w:r>
          </w:p>
          <w:p w:rsidR="00605220" w:rsidRPr="006971CE" w:rsidRDefault="00605220">
            <w:pPr>
              <w:spacing w:line="360" w:lineRule="auto"/>
              <w:rPr>
                <w:rFonts w:ascii="Times New Roman" w:hAnsi="Times New Roman" w:cs="Times New Roman"/>
                <w:sz w:val="18"/>
                <w:szCs w:val="20"/>
              </w:rPr>
            </w:pPr>
          </w:p>
        </w:tc>
        <w:tc>
          <w:tcPr>
            <w:tcW w:w="1860" w:type="dxa"/>
            <w:tcBorders>
              <w:top w:val="single" w:sz="6" w:space="0" w:color="000000"/>
              <w:left w:val="single" w:sz="6" w:space="0" w:color="000000"/>
              <w:bottom w:val="single" w:sz="6" w:space="0" w:color="000000"/>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 xml:space="preserve">21-30 years </w:t>
            </w:r>
          </w:p>
        </w:tc>
        <w:tc>
          <w:tcPr>
            <w:tcW w:w="1860" w:type="dxa"/>
            <w:tcBorders>
              <w:top w:val="single" w:sz="6" w:space="0" w:color="000000"/>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14</w:t>
            </w:r>
          </w:p>
        </w:tc>
        <w:tc>
          <w:tcPr>
            <w:tcW w:w="1818" w:type="dxa"/>
            <w:tcBorders>
              <w:top w:val="single" w:sz="6" w:space="0" w:color="000000"/>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14.1%</w:t>
            </w:r>
          </w:p>
        </w:tc>
      </w:tr>
      <w:tr w:rsidR="00605220" w:rsidRPr="006971CE" w:rsidTr="00605220">
        <w:trPr>
          <w:trHeight w:val="213"/>
        </w:trPr>
        <w:tc>
          <w:tcPr>
            <w:tcW w:w="7398" w:type="dxa"/>
            <w:vMerge/>
            <w:tcBorders>
              <w:top w:val="single" w:sz="6" w:space="0" w:color="000000"/>
              <w:left w:val="single" w:sz="4" w:space="0" w:color="auto"/>
              <w:bottom w:val="single" w:sz="4" w:space="0" w:color="auto"/>
              <w:right w:val="single" w:sz="6" w:space="0" w:color="000000"/>
            </w:tcBorders>
            <w:vAlign w:val="center"/>
            <w:hideMark/>
          </w:tcPr>
          <w:p w:rsidR="00605220" w:rsidRPr="006971CE" w:rsidRDefault="00605220">
            <w:pPr>
              <w:spacing w:after="0" w:line="240" w:lineRule="auto"/>
              <w:rPr>
                <w:rFonts w:ascii="Times New Roman" w:hAnsi="Times New Roman" w:cs="Times New Roman"/>
                <w:sz w:val="18"/>
                <w:szCs w:val="20"/>
              </w:rPr>
            </w:pPr>
          </w:p>
        </w:tc>
        <w:tc>
          <w:tcPr>
            <w:tcW w:w="1860" w:type="dxa"/>
            <w:tcBorders>
              <w:top w:val="single" w:sz="6" w:space="0" w:color="000000"/>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31-40 years</w:t>
            </w:r>
          </w:p>
        </w:tc>
        <w:tc>
          <w:tcPr>
            <w:tcW w:w="1860" w:type="dxa"/>
            <w:tcBorders>
              <w:top w:val="single" w:sz="6" w:space="0" w:color="000000"/>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37</w:t>
            </w:r>
          </w:p>
        </w:tc>
        <w:tc>
          <w:tcPr>
            <w:tcW w:w="1818" w:type="dxa"/>
            <w:tcBorders>
              <w:top w:val="single" w:sz="6" w:space="0" w:color="000000"/>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37.4%</w:t>
            </w:r>
          </w:p>
        </w:tc>
      </w:tr>
      <w:tr w:rsidR="00605220" w:rsidRPr="006971CE" w:rsidTr="00605220">
        <w:trPr>
          <w:trHeight w:val="226"/>
        </w:trPr>
        <w:tc>
          <w:tcPr>
            <w:tcW w:w="7398" w:type="dxa"/>
            <w:vMerge/>
            <w:tcBorders>
              <w:top w:val="single" w:sz="6" w:space="0" w:color="000000"/>
              <w:left w:val="single" w:sz="4" w:space="0" w:color="auto"/>
              <w:bottom w:val="single" w:sz="4" w:space="0" w:color="auto"/>
              <w:right w:val="single" w:sz="6" w:space="0" w:color="000000"/>
            </w:tcBorders>
            <w:vAlign w:val="center"/>
            <w:hideMark/>
          </w:tcPr>
          <w:p w:rsidR="00605220" w:rsidRPr="006971CE" w:rsidRDefault="00605220">
            <w:pPr>
              <w:spacing w:after="0" w:line="240" w:lineRule="auto"/>
              <w:rPr>
                <w:rFonts w:ascii="Times New Roman" w:hAnsi="Times New Roman" w:cs="Times New Roman"/>
                <w:sz w:val="18"/>
                <w:szCs w:val="20"/>
              </w:rPr>
            </w:pPr>
          </w:p>
        </w:tc>
        <w:tc>
          <w:tcPr>
            <w:tcW w:w="1860" w:type="dxa"/>
            <w:tcBorders>
              <w:top w:val="single" w:sz="4" w:space="0" w:color="auto"/>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41-50 yeas</w:t>
            </w:r>
          </w:p>
        </w:tc>
        <w:tc>
          <w:tcPr>
            <w:tcW w:w="1860" w:type="dxa"/>
            <w:tcBorders>
              <w:top w:val="single" w:sz="4" w:space="0" w:color="auto"/>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43</w:t>
            </w:r>
          </w:p>
        </w:tc>
        <w:tc>
          <w:tcPr>
            <w:tcW w:w="1818" w:type="dxa"/>
            <w:tcBorders>
              <w:top w:val="single" w:sz="4" w:space="0" w:color="auto"/>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43.4%</w:t>
            </w:r>
          </w:p>
        </w:tc>
      </w:tr>
      <w:tr w:rsidR="00605220" w:rsidRPr="006971CE" w:rsidTr="00605220">
        <w:trPr>
          <w:trHeight w:val="280"/>
        </w:trPr>
        <w:tc>
          <w:tcPr>
            <w:tcW w:w="7398" w:type="dxa"/>
            <w:vMerge/>
            <w:tcBorders>
              <w:top w:val="single" w:sz="6" w:space="0" w:color="000000"/>
              <w:left w:val="single" w:sz="4" w:space="0" w:color="auto"/>
              <w:bottom w:val="single" w:sz="4" w:space="0" w:color="auto"/>
              <w:right w:val="single" w:sz="6" w:space="0" w:color="000000"/>
            </w:tcBorders>
            <w:vAlign w:val="center"/>
            <w:hideMark/>
          </w:tcPr>
          <w:p w:rsidR="00605220" w:rsidRPr="006971CE" w:rsidRDefault="00605220">
            <w:pPr>
              <w:spacing w:after="0" w:line="240" w:lineRule="auto"/>
              <w:rPr>
                <w:rFonts w:ascii="Times New Roman" w:hAnsi="Times New Roman" w:cs="Times New Roman"/>
                <w:sz w:val="18"/>
                <w:szCs w:val="20"/>
              </w:rPr>
            </w:pPr>
          </w:p>
        </w:tc>
        <w:tc>
          <w:tcPr>
            <w:tcW w:w="1860" w:type="dxa"/>
            <w:tcBorders>
              <w:top w:val="single" w:sz="4" w:space="0" w:color="auto"/>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Above 50 years</w:t>
            </w:r>
          </w:p>
        </w:tc>
        <w:tc>
          <w:tcPr>
            <w:tcW w:w="1860" w:type="dxa"/>
            <w:tcBorders>
              <w:top w:val="single" w:sz="4" w:space="0" w:color="auto"/>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5</w:t>
            </w:r>
          </w:p>
        </w:tc>
        <w:tc>
          <w:tcPr>
            <w:tcW w:w="1818" w:type="dxa"/>
            <w:tcBorders>
              <w:top w:val="single" w:sz="4" w:space="0" w:color="auto"/>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5.1%</w:t>
            </w:r>
          </w:p>
        </w:tc>
      </w:tr>
      <w:tr w:rsidR="00605220" w:rsidRPr="006971CE" w:rsidTr="00605220">
        <w:trPr>
          <w:trHeight w:val="350"/>
        </w:trPr>
        <w:tc>
          <w:tcPr>
            <w:tcW w:w="7398" w:type="dxa"/>
            <w:vMerge/>
            <w:tcBorders>
              <w:top w:val="single" w:sz="6" w:space="0" w:color="000000"/>
              <w:left w:val="single" w:sz="4" w:space="0" w:color="auto"/>
              <w:bottom w:val="single" w:sz="4" w:space="0" w:color="auto"/>
              <w:right w:val="single" w:sz="6" w:space="0" w:color="000000"/>
            </w:tcBorders>
            <w:vAlign w:val="center"/>
            <w:hideMark/>
          </w:tcPr>
          <w:p w:rsidR="00605220" w:rsidRPr="006971CE" w:rsidRDefault="00605220">
            <w:pPr>
              <w:spacing w:after="0" w:line="240" w:lineRule="auto"/>
              <w:rPr>
                <w:rFonts w:ascii="Times New Roman" w:hAnsi="Times New Roman" w:cs="Times New Roman"/>
                <w:sz w:val="18"/>
                <w:szCs w:val="20"/>
              </w:rPr>
            </w:pPr>
          </w:p>
        </w:tc>
        <w:tc>
          <w:tcPr>
            <w:tcW w:w="1860" w:type="dxa"/>
            <w:tcBorders>
              <w:top w:val="single" w:sz="4" w:space="0" w:color="auto"/>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total</w:t>
            </w:r>
          </w:p>
        </w:tc>
        <w:tc>
          <w:tcPr>
            <w:tcW w:w="1860" w:type="dxa"/>
            <w:tcBorders>
              <w:top w:val="single" w:sz="4" w:space="0" w:color="auto"/>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99</w:t>
            </w:r>
          </w:p>
        </w:tc>
        <w:tc>
          <w:tcPr>
            <w:tcW w:w="1818" w:type="dxa"/>
            <w:tcBorders>
              <w:top w:val="single" w:sz="4" w:space="0" w:color="auto"/>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100%</w:t>
            </w:r>
          </w:p>
        </w:tc>
      </w:tr>
      <w:tr w:rsidR="00605220" w:rsidRPr="006971CE" w:rsidTr="00605220">
        <w:trPr>
          <w:trHeight w:val="93"/>
        </w:trPr>
        <w:tc>
          <w:tcPr>
            <w:tcW w:w="1860" w:type="dxa"/>
            <w:vMerge w:val="restart"/>
            <w:tcBorders>
              <w:top w:val="single" w:sz="4" w:space="0" w:color="auto"/>
              <w:left w:val="single" w:sz="4" w:space="0" w:color="auto"/>
              <w:bottom w:val="single" w:sz="4" w:space="0" w:color="auto"/>
              <w:right w:val="single" w:sz="4" w:space="0" w:color="auto"/>
            </w:tcBorders>
            <w:vAlign w:val="center"/>
            <w:hideMark/>
          </w:tcPr>
          <w:p w:rsidR="00605220" w:rsidRPr="006971CE" w:rsidRDefault="00605220">
            <w:pPr>
              <w:spacing w:line="360" w:lineRule="auto"/>
              <w:rPr>
                <w:rFonts w:ascii="Times New Roman" w:hAnsi="Times New Roman" w:cs="Times New Roman"/>
                <w:sz w:val="18"/>
                <w:szCs w:val="20"/>
              </w:rPr>
            </w:pPr>
            <w:proofErr w:type="spellStart"/>
            <w:r w:rsidRPr="006971CE">
              <w:rPr>
                <w:rFonts w:ascii="Times New Roman" w:hAnsi="Times New Roman" w:cs="Times New Roman"/>
                <w:sz w:val="18"/>
                <w:szCs w:val="20"/>
              </w:rPr>
              <w:t>Martial</w:t>
            </w:r>
            <w:proofErr w:type="spellEnd"/>
            <w:r w:rsidRPr="006971CE">
              <w:rPr>
                <w:rFonts w:ascii="Times New Roman" w:hAnsi="Times New Roman" w:cs="Times New Roman"/>
                <w:sz w:val="18"/>
                <w:szCs w:val="20"/>
              </w:rPr>
              <w:t xml:space="preserve"> status</w:t>
            </w:r>
          </w:p>
        </w:tc>
        <w:tc>
          <w:tcPr>
            <w:tcW w:w="1860" w:type="dxa"/>
            <w:tcBorders>
              <w:top w:val="single" w:sz="4" w:space="0" w:color="auto"/>
              <w:left w:val="single" w:sz="4" w:space="0" w:color="auto"/>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 xml:space="preserve">married </w:t>
            </w:r>
          </w:p>
        </w:tc>
        <w:tc>
          <w:tcPr>
            <w:tcW w:w="1860" w:type="dxa"/>
            <w:tcBorders>
              <w:top w:val="single" w:sz="4" w:space="0" w:color="auto"/>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80</w:t>
            </w:r>
          </w:p>
        </w:tc>
        <w:tc>
          <w:tcPr>
            <w:tcW w:w="1818" w:type="dxa"/>
            <w:tcBorders>
              <w:top w:val="single" w:sz="4" w:space="0" w:color="auto"/>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80.8%</w:t>
            </w:r>
          </w:p>
        </w:tc>
      </w:tr>
      <w:tr w:rsidR="00605220" w:rsidRPr="006971CE" w:rsidTr="00605220">
        <w:trPr>
          <w:trHeight w:val="161"/>
        </w:trPr>
        <w:tc>
          <w:tcPr>
            <w:tcW w:w="7398" w:type="dxa"/>
            <w:vMerge/>
            <w:tcBorders>
              <w:top w:val="single" w:sz="4" w:space="0" w:color="auto"/>
              <w:left w:val="single" w:sz="4" w:space="0" w:color="auto"/>
              <w:bottom w:val="single" w:sz="4" w:space="0" w:color="auto"/>
              <w:right w:val="single" w:sz="4" w:space="0" w:color="auto"/>
            </w:tcBorders>
            <w:vAlign w:val="center"/>
            <w:hideMark/>
          </w:tcPr>
          <w:p w:rsidR="00605220" w:rsidRPr="006971CE" w:rsidRDefault="00605220">
            <w:pPr>
              <w:spacing w:after="0" w:line="240" w:lineRule="auto"/>
              <w:rPr>
                <w:rFonts w:ascii="Times New Roman" w:hAnsi="Times New Roman" w:cs="Times New Roman"/>
                <w:sz w:val="18"/>
                <w:szCs w:val="20"/>
              </w:rPr>
            </w:pPr>
          </w:p>
        </w:tc>
        <w:tc>
          <w:tcPr>
            <w:tcW w:w="1860" w:type="dxa"/>
            <w:tcBorders>
              <w:top w:val="single" w:sz="4" w:space="0" w:color="auto"/>
              <w:left w:val="single" w:sz="4" w:space="0" w:color="auto"/>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 xml:space="preserve">Single </w:t>
            </w:r>
          </w:p>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never married)</w:t>
            </w:r>
          </w:p>
        </w:tc>
        <w:tc>
          <w:tcPr>
            <w:tcW w:w="1860" w:type="dxa"/>
            <w:tcBorders>
              <w:top w:val="single" w:sz="4" w:space="0" w:color="auto"/>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14</w:t>
            </w:r>
          </w:p>
        </w:tc>
        <w:tc>
          <w:tcPr>
            <w:tcW w:w="1818" w:type="dxa"/>
            <w:tcBorders>
              <w:top w:val="single" w:sz="4" w:space="0" w:color="auto"/>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14.1</w:t>
            </w:r>
          </w:p>
        </w:tc>
      </w:tr>
      <w:tr w:rsidR="00605220" w:rsidRPr="006971CE" w:rsidTr="00605220">
        <w:trPr>
          <w:trHeight w:val="169"/>
        </w:trPr>
        <w:tc>
          <w:tcPr>
            <w:tcW w:w="7398" w:type="dxa"/>
            <w:vMerge/>
            <w:tcBorders>
              <w:top w:val="single" w:sz="4" w:space="0" w:color="auto"/>
              <w:left w:val="single" w:sz="4" w:space="0" w:color="auto"/>
              <w:bottom w:val="single" w:sz="4" w:space="0" w:color="auto"/>
              <w:right w:val="single" w:sz="4" w:space="0" w:color="auto"/>
            </w:tcBorders>
            <w:vAlign w:val="center"/>
            <w:hideMark/>
          </w:tcPr>
          <w:p w:rsidR="00605220" w:rsidRPr="006971CE" w:rsidRDefault="00605220">
            <w:pPr>
              <w:spacing w:after="0" w:line="240" w:lineRule="auto"/>
              <w:rPr>
                <w:rFonts w:ascii="Times New Roman" w:hAnsi="Times New Roman" w:cs="Times New Roman"/>
                <w:sz w:val="18"/>
                <w:szCs w:val="20"/>
              </w:rPr>
            </w:pPr>
          </w:p>
        </w:tc>
        <w:tc>
          <w:tcPr>
            <w:tcW w:w="1860" w:type="dxa"/>
            <w:tcBorders>
              <w:top w:val="single" w:sz="4" w:space="0" w:color="auto"/>
              <w:left w:val="single" w:sz="4" w:space="0" w:color="auto"/>
              <w:bottom w:val="single" w:sz="6" w:space="0" w:color="000000"/>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divorced</w:t>
            </w:r>
          </w:p>
        </w:tc>
        <w:tc>
          <w:tcPr>
            <w:tcW w:w="1860" w:type="dxa"/>
            <w:tcBorders>
              <w:top w:val="single" w:sz="4" w:space="0" w:color="auto"/>
              <w:left w:val="single" w:sz="6" w:space="0" w:color="000000"/>
              <w:bottom w:val="single" w:sz="6" w:space="0" w:color="000000"/>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3</w:t>
            </w:r>
          </w:p>
        </w:tc>
        <w:tc>
          <w:tcPr>
            <w:tcW w:w="1818" w:type="dxa"/>
            <w:tcBorders>
              <w:top w:val="single" w:sz="4" w:space="0" w:color="auto"/>
              <w:left w:val="single" w:sz="6" w:space="0" w:color="000000"/>
              <w:bottom w:val="single" w:sz="6" w:space="0" w:color="000000"/>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3.0%</w:t>
            </w:r>
          </w:p>
        </w:tc>
      </w:tr>
      <w:tr w:rsidR="00605220" w:rsidRPr="006971CE" w:rsidTr="00605220">
        <w:trPr>
          <w:trHeight w:val="360"/>
        </w:trPr>
        <w:tc>
          <w:tcPr>
            <w:tcW w:w="7398" w:type="dxa"/>
            <w:vMerge/>
            <w:tcBorders>
              <w:top w:val="single" w:sz="4" w:space="0" w:color="auto"/>
              <w:left w:val="single" w:sz="4" w:space="0" w:color="auto"/>
              <w:bottom w:val="single" w:sz="4" w:space="0" w:color="auto"/>
              <w:right w:val="single" w:sz="4" w:space="0" w:color="auto"/>
            </w:tcBorders>
            <w:vAlign w:val="center"/>
            <w:hideMark/>
          </w:tcPr>
          <w:p w:rsidR="00605220" w:rsidRPr="006971CE" w:rsidRDefault="00605220">
            <w:pPr>
              <w:spacing w:after="0" w:line="240" w:lineRule="auto"/>
              <w:rPr>
                <w:rFonts w:ascii="Times New Roman" w:hAnsi="Times New Roman" w:cs="Times New Roman"/>
                <w:sz w:val="18"/>
                <w:szCs w:val="20"/>
              </w:rPr>
            </w:pPr>
          </w:p>
        </w:tc>
        <w:tc>
          <w:tcPr>
            <w:tcW w:w="1860" w:type="dxa"/>
            <w:tcBorders>
              <w:top w:val="single" w:sz="6" w:space="0" w:color="000000"/>
              <w:left w:val="single" w:sz="4" w:space="0" w:color="auto"/>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 xml:space="preserve">Widowed </w:t>
            </w:r>
          </w:p>
        </w:tc>
        <w:tc>
          <w:tcPr>
            <w:tcW w:w="1860" w:type="dxa"/>
            <w:tcBorders>
              <w:top w:val="single" w:sz="6" w:space="0" w:color="000000"/>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2</w:t>
            </w:r>
          </w:p>
        </w:tc>
        <w:tc>
          <w:tcPr>
            <w:tcW w:w="1818" w:type="dxa"/>
            <w:tcBorders>
              <w:top w:val="single" w:sz="6" w:space="0" w:color="000000"/>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2.0%</w:t>
            </w:r>
          </w:p>
        </w:tc>
      </w:tr>
      <w:tr w:rsidR="00605220" w:rsidRPr="006971CE" w:rsidTr="00605220">
        <w:trPr>
          <w:trHeight w:val="270"/>
        </w:trPr>
        <w:tc>
          <w:tcPr>
            <w:tcW w:w="7398" w:type="dxa"/>
            <w:vMerge/>
            <w:tcBorders>
              <w:top w:val="single" w:sz="4" w:space="0" w:color="auto"/>
              <w:left w:val="single" w:sz="4" w:space="0" w:color="auto"/>
              <w:bottom w:val="single" w:sz="4" w:space="0" w:color="auto"/>
              <w:right w:val="single" w:sz="4" w:space="0" w:color="auto"/>
            </w:tcBorders>
            <w:vAlign w:val="center"/>
            <w:hideMark/>
          </w:tcPr>
          <w:p w:rsidR="00605220" w:rsidRPr="006971CE" w:rsidRDefault="00605220">
            <w:pPr>
              <w:spacing w:after="0" w:line="240" w:lineRule="auto"/>
              <w:rPr>
                <w:rFonts w:ascii="Times New Roman" w:hAnsi="Times New Roman" w:cs="Times New Roman"/>
                <w:sz w:val="18"/>
                <w:szCs w:val="20"/>
              </w:rPr>
            </w:pPr>
          </w:p>
        </w:tc>
        <w:tc>
          <w:tcPr>
            <w:tcW w:w="1860" w:type="dxa"/>
            <w:tcBorders>
              <w:top w:val="single" w:sz="4" w:space="0" w:color="auto"/>
              <w:left w:val="single" w:sz="4" w:space="0" w:color="auto"/>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Total</w:t>
            </w:r>
          </w:p>
        </w:tc>
        <w:tc>
          <w:tcPr>
            <w:tcW w:w="1860" w:type="dxa"/>
            <w:tcBorders>
              <w:top w:val="single" w:sz="4" w:space="0" w:color="auto"/>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99</w:t>
            </w:r>
          </w:p>
        </w:tc>
        <w:tc>
          <w:tcPr>
            <w:tcW w:w="1818" w:type="dxa"/>
            <w:tcBorders>
              <w:top w:val="single" w:sz="4" w:space="0" w:color="auto"/>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100%</w:t>
            </w:r>
          </w:p>
        </w:tc>
      </w:tr>
      <w:tr w:rsidR="00605220" w:rsidRPr="006971CE" w:rsidTr="00605220">
        <w:trPr>
          <w:trHeight w:val="205"/>
        </w:trPr>
        <w:tc>
          <w:tcPr>
            <w:tcW w:w="1860" w:type="dxa"/>
            <w:vMerge w:val="restart"/>
            <w:tcBorders>
              <w:top w:val="single" w:sz="4" w:space="0" w:color="auto"/>
              <w:left w:val="single" w:sz="4" w:space="0" w:color="auto"/>
              <w:bottom w:val="single" w:sz="4" w:space="0" w:color="auto"/>
              <w:right w:val="single" w:sz="4" w:space="0" w:color="auto"/>
            </w:tcBorders>
            <w:vAlign w:val="center"/>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RELIGION</w:t>
            </w:r>
          </w:p>
        </w:tc>
        <w:tc>
          <w:tcPr>
            <w:tcW w:w="1860" w:type="dxa"/>
            <w:tcBorders>
              <w:top w:val="single" w:sz="4" w:space="0" w:color="auto"/>
              <w:left w:val="single" w:sz="4" w:space="0" w:color="auto"/>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Orthodox</w:t>
            </w:r>
          </w:p>
        </w:tc>
        <w:tc>
          <w:tcPr>
            <w:tcW w:w="1860" w:type="dxa"/>
            <w:tcBorders>
              <w:top w:val="single" w:sz="4" w:space="0" w:color="auto"/>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80</w:t>
            </w:r>
          </w:p>
        </w:tc>
        <w:tc>
          <w:tcPr>
            <w:tcW w:w="1818" w:type="dxa"/>
            <w:tcBorders>
              <w:top w:val="single" w:sz="4" w:space="0" w:color="auto"/>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80.8%</w:t>
            </w:r>
          </w:p>
        </w:tc>
      </w:tr>
      <w:tr w:rsidR="00605220" w:rsidRPr="006971CE" w:rsidTr="00605220">
        <w:trPr>
          <w:trHeight w:val="205"/>
        </w:trPr>
        <w:tc>
          <w:tcPr>
            <w:tcW w:w="7398" w:type="dxa"/>
            <w:vMerge/>
            <w:tcBorders>
              <w:top w:val="single" w:sz="4" w:space="0" w:color="auto"/>
              <w:left w:val="single" w:sz="4" w:space="0" w:color="auto"/>
              <w:bottom w:val="single" w:sz="4" w:space="0" w:color="auto"/>
              <w:right w:val="single" w:sz="4" w:space="0" w:color="auto"/>
            </w:tcBorders>
            <w:vAlign w:val="center"/>
            <w:hideMark/>
          </w:tcPr>
          <w:p w:rsidR="00605220" w:rsidRPr="006971CE" w:rsidRDefault="00605220">
            <w:pPr>
              <w:spacing w:after="0" w:line="240" w:lineRule="auto"/>
              <w:rPr>
                <w:rFonts w:ascii="Times New Roman" w:hAnsi="Times New Roman" w:cs="Times New Roman"/>
                <w:sz w:val="18"/>
                <w:szCs w:val="20"/>
              </w:rPr>
            </w:pPr>
          </w:p>
        </w:tc>
        <w:tc>
          <w:tcPr>
            <w:tcW w:w="1860" w:type="dxa"/>
            <w:tcBorders>
              <w:top w:val="single" w:sz="4" w:space="0" w:color="auto"/>
              <w:left w:val="single" w:sz="4" w:space="0" w:color="auto"/>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proofErr w:type="spellStart"/>
            <w:r w:rsidRPr="006971CE">
              <w:rPr>
                <w:rFonts w:ascii="Times New Roman" w:hAnsi="Times New Roman" w:cs="Times New Roman"/>
                <w:sz w:val="18"/>
                <w:szCs w:val="20"/>
              </w:rPr>
              <w:t>muslim</w:t>
            </w:r>
            <w:proofErr w:type="spellEnd"/>
          </w:p>
        </w:tc>
        <w:tc>
          <w:tcPr>
            <w:tcW w:w="1860" w:type="dxa"/>
            <w:tcBorders>
              <w:top w:val="single" w:sz="4" w:space="0" w:color="auto"/>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14</w:t>
            </w:r>
          </w:p>
        </w:tc>
        <w:tc>
          <w:tcPr>
            <w:tcW w:w="1818" w:type="dxa"/>
            <w:tcBorders>
              <w:top w:val="single" w:sz="4" w:space="0" w:color="auto"/>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14.1%</w:t>
            </w:r>
          </w:p>
        </w:tc>
      </w:tr>
      <w:tr w:rsidR="00605220" w:rsidRPr="006971CE" w:rsidTr="00605220">
        <w:trPr>
          <w:trHeight w:val="183"/>
        </w:trPr>
        <w:tc>
          <w:tcPr>
            <w:tcW w:w="7398" w:type="dxa"/>
            <w:vMerge/>
            <w:tcBorders>
              <w:top w:val="single" w:sz="4" w:space="0" w:color="auto"/>
              <w:left w:val="single" w:sz="4" w:space="0" w:color="auto"/>
              <w:bottom w:val="single" w:sz="4" w:space="0" w:color="auto"/>
              <w:right w:val="single" w:sz="4" w:space="0" w:color="auto"/>
            </w:tcBorders>
            <w:vAlign w:val="center"/>
            <w:hideMark/>
          </w:tcPr>
          <w:p w:rsidR="00605220" w:rsidRPr="006971CE" w:rsidRDefault="00605220">
            <w:pPr>
              <w:spacing w:after="0" w:line="240" w:lineRule="auto"/>
              <w:rPr>
                <w:rFonts w:ascii="Times New Roman" w:hAnsi="Times New Roman" w:cs="Times New Roman"/>
                <w:sz w:val="18"/>
                <w:szCs w:val="20"/>
              </w:rPr>
            </w:pPr>
          </w:p>
        </w:tc>
        <w:tc>
          <w:tcPr>
            <w:tcW w:w="1860" w:type="dxa"/>
            <w:tcBorders>
              <w:top w:val="single" w:sz="4" w:space="0" w:color="auto"/>
              <w:left w:val="single" w:sz="4" w:space="0" w:color="auto"/>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protestant</w:t>
            </w:r>
          </w:p>
        </w:tc>
        <w:tc>
          <w:tcPr>
            <w:tcW w:w="1860" w:type="dxa"/>
            <w:tcBorders>
              <w:top w:val="single" w:sz="4" w:space="0" w:color="auto"/>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4</w:t>
            </w:r>
          </w:p>
        </w:tc>
        <w:tc>
          <w:tcPr>
            <w:tcW w:w="1818" w:type="dxa"/>
            <w:tcBorders>
              <w:top w:val="single" w:sz="4" w:space="0" w:color="auto"/>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4.0%</w:t>
            </w:r>
          </w:p>
        </w:tc>
      </w:tr>
      <w:tr w:rsidR="00605220" w:rsidRPr="006971CE" w:rsidTr="00605220">
        <w:trPr>
          <w:trHeight w:val="320"/>
        </w:trPr>
        <w:tc>
          <w:tcPr>
            <w:tcW w:w="7398" w:type="dxa"/>
            <w:vMerge/>
            <w:tcBorders>
              <w:top w:val="single" w:sz="4" w:space="0" w:color="auto"/>
              <w:left w:val="single" w:sz="4" w:space="0" w:color="auto"/>
              <w:bottom w:val="single" w:sz="4" w:space="0" w:color="auto"/>
              <w:right w:val="single" w:sz="4" w:space="0" w:color="auto"/>
            </w:tcBorders>
            <w:vAlign w:val="center"/>
            <w:hideMark/>
          </w:tcPr>
          <w:p w:rsidR="00605220" w:rsidRPr="006971CE" w:rsidRDefault="00605220">
            <w:pPr>
              <w:spacing w:after="0" w:line="240" w:lineRule="auto"/>
              <w:rPr>
                <w:rFonts w:ascii="Times New Roman" w:hAnsi="Times New Roman" w:cs="Times New Roman"/>
                <w:sz w:val="18"/>
                <w:szCs w:val="20"/>
              </w:rPr>
            </w:pPr>
          </w:p>
        </w:tc>
        <w:tc>
          <w:tcPr>
            <w:tcW w:w="1860" w:type="dxa"/>
            <w:tcBorders>
              <w:top w:val="single" w:sz="4" w:space="0" w:color="auto"/>
              <w:left w:val="single" w:sz="4" w:space="0" w:color="auto"/>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catholic</w:t>
            </w:r>
          </w:p>
        </w:tc>
        <w:tc>
          <w:tcPr>
            <w:tcW w:w="1860" w:type="dxa"/>
            <w:tcBorders>
              <w:top w:val="single" w:sz="4" w:space="0" w:color="auto"/>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1</w:t>
            </w:r>
          </w:p>
        </w:tc>
        <w:tc>
          <w:tcPr>
            <w:tcW w:w="1818" w:type="dxa"/>
            <w:tcBorders>
              <w:top w:val="single" w:sz="4" w:space="0" w:color="auto"/>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1.0%</w:t>
            </w:r>
          </w:p>
        </w:tc>
      </w:tr>
      <w:tr w:rsidR="00605220" w:rsidRPr="006971CE" w:rsidTr="00605220">
        <w:trPr>
          <w:trHeight w:val="310"/>
        </w:trPr>
        <w:tc>
          <w:tcPr>
            <w:tcW w:w="7398" w:type="dxa"/>
            <w:vMerge/>
            <w:tcBorders>
              <w:top w:val="single" w:sz="4" w:space="0" w:color="auto"/>
              <w:left w:val="single" w:sz="4" w:space="0" w:color="auto"/>
              <w:bottom w:val="single" w:sz="4" w:space="0" w:color="auto"/>
              <w:right w:val="single" w:sz="4" w:space="0" w:color="auto"/>
            </w:tcBorders>
            <w:vAlign w:val="center"/>
            <w:hideMark/>
          </w:tcPr>
          <w:p w:rsidR="00605220" w:rsidRPr="006971CE" w:rsidRDefault="00605220">
            <w:pPr>
              <w:spacing w:after="0" w:line="240" w:lineRule="auto"/>
              <w:rPr>
                <w:rFonts w:ascii="Times New Roman" w:hAnsi="Times New Roman" w:cs="Times New Roman"/>
                <w:sz w:val="18"/>
                <w:szCs w:val="20"/>
              </w:rPr>
            </w:pPr>
          </w:p>
        </w:tc>
        <w:tc>
          <w:tcPr>
            <w:tcW w:w="1860" w:type="dxa"/>
            <w:tcBorders>
              <w:top w:val="single" w:sz="4" w:space="0" w:color="auto"/>
              <w:left w:val="single" w:sz="4" w:space="0" w:color="auto"/>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total</w:t>
            </w:r>
          </w:p>
        </w:tc>
        <w:tc>
          <w:tcPr>
            <w:tcW w:w="1860" w:type="dxa"/>
            <w:tcBorders>
              <w:top w:val="single" w:sz="4" w:space="0" w:color="auto"/>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99</w:t>
            </w:r>
          </w:p>
        </w:tc>
        <w:tc>
          <w:tcPr>
            <w:tcW w:w="1818" w:type="dxa"/>
            <w:tcBorders>
              <w:top w:val="single" w:sz="4" w:space="0" w:color="auto"/>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100%</w:t>
            </w:r>
          </w:p>
        </w:tc>
      </w:tr>
      <w:tr w:rsidR="00605220" w:rsidRPr="006971CE" w:rsidTr="00605220">
        <w:trPr>
          <w:trHeight w:val="206"/>
        </w:trPr>
        <w:tc>
          <w:tcPr>
            <w:tcW w:w="1860" w:type="dxa"/>
            <w:vMerge w:val="restart"/>
            <w:tcBorders>
              <w:top w:val="single" w:sz="4" w:space="0" w:color="auto"/>
              <w:left w:val="single" w:sz="4" w:space="0" w:color="auto"/>
              <w:bottom w:val="single" w:sz="4" w:space="0" w:color="auto"/>
              <w:right w:val="single" w:sz="4" w:space="0" w:color="auto"/>
            </w:tcBorders>
            <w:vAlign w:val="center"/>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5ESUCATIONAL STATUS</w:t>
            </w:r>
          </w:p>
        </w:tc>
        <w:tc>
          <w:tcPr>
            <w:tcW w:w="1860" w:type="dxa"/>
            <w:tcBorders>
              <w:top w:val="single" w:sz="4" w:space="0" w:color="auto"/>
              <w:left w:val="single" w:sz="4" w:space="0" w:color="auto"/>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proofErr w:type="spellStart"/>
            <w:r w:rsidRPr="006971CE">
              <w:rPr>
                <w:rFonts w:ascii="Times New Roman" w:hAnsi="Times New Roman" w:cs="Times New Roman"/>
                <w:sz w:val="18"/>
                <w:szCs w:val="20"/>
              </w:rPr>
              <w:t>Can not</w:t>
            </w:r>
            <w:proofErr w:type="spellEnd"/>
            <w:r w:rsidRPr="006971CE">
              <w:rPr>
                <w:rFonts w:ascii="Times New Roman" w:hAnsi="Times New Roman" w:cs="Times New Roman"/>
                <w:sz w:val="18"/>
                <w:szCs w:val="20"/>
              </w:rPr>
              <w:t xml:space="preserve"> read and write</w:t>
            </w:r>
          </w:p>
        </w:tc>
        <w:tc>
          <w:tcPr>
            <w:tcW w:w="1860" w:type="dxa"/>
            <w:tcBorders>
              <w:top w:val="single" w:sz="4" w:space="0" w:color="auto"/>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20</w:t>
            </w:r>
          </w:p>
        </w:tc>
        <w:tc>
          <w:tcPr>
            <w:tcW w:w="1818" w:type="dxa"/>
            <w:tcBorders>
              <w:top w:val="single" w:sz="4" w:space="0" w:color="auto"/>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20.2%</w:t>
            </w:r>
          </w:p>
        </w:tc>
      </w:tr>
      <w:tr w:rsidR="00605220" w:rsidRPr="006971CE" w:rsidTr="00605220">
        <w:trPr>
          <w:trHeight w:val="213"/>
        </w:trPr>
        <w:tc>
          <w:tcPr>
            <w:tcW w:w="7398" w:type="dxa"/>
            <w:vMerge/>
            <w:tcBorders>
              <w:top w:val="single" w:sz="4" w:space="0" w:color="auto"/>
              <w:left w:val="single" w:sz="4" w:space="0" w:color="auto"/>
              <w:bottom w:val="single" w:sz="4" w:space="0" w:color="auto"/>
              <w:right w:val="single" w:sz="4" w:space="0" w:color="auto"/>
            </w:tcBorders>
            <w:vAlign w:val="center"/>
            <w:hideMark/>
          </w:tcPr>
          <w:p w:rsidR="00605220" w:rsidRPr="006971CE" w:rsidRDefault="00605220">
            <w:pPr>
              <w:spacing w:after="0" w:line="240" w:lineRule="auto"/>
              <w:rPr>
                <w:rFonts w:ascii="Times New Roman" w:hAnsi="Times New Roman" w:cs="Times New Roman"/>
                <w:sz w:val="18"/>
                <w:szCs w:val="20"/>
              </w:rPr>
            </w:pPr>
          </w:p>
        </w:tc>
        <w:tc>
          <w:tcPr>
            <w:tcW w:w="1860" w:type="dxa"/>
            <w:tcBorders>
              <w:top w:val="single" w:sz="4" w:space="0" w:color="auto"/>
              <w:left w:val="single" w:sz="4" w:space="0" w:color="auto"/>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Can only read and write</w:t>
            </w:r>
          </w:p>
        </w:tc>
        <w:tc>
          <w:tcPr>
            <w:tcW w:w="1860" w:type="dxa"/>
            <w:tcBorders>
              <w:top w:val="single" w:sz="4" w:space="0" w:color="auto"/>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10</w:t>
            </w:r>
          </w:p>
        </w:tc>
        <w:tc>
          <w:tcPr>
            <w:tcW w:w="1818" w:type="dxa"/>
            <w:tcBorders>
              <w:top w:val="single" w:sz="4" w:space="0" w:color="auto"/>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10.1%</w:t>
            </w:r>
          </w:p>
        </w:tc>
      </w:tr>
      <w:tr w:rsidR="00605220" w:rsidRPr="006971CE" w:rsidTr="00605220">
        <w:trPr>
          <w:trHeight w:val="234"/>
        </w:trPr>
        <w:tc>
          <w:tcPr>
            <w:tcW w:w="7398" w:type="dxa"/>
            <w:vMerge/>
            <w:tcBorders>
              <w:top w:val="single" w:sz="4" w:space="0" w:color="auto"/>
              <w:left w:val="single" w:sz="4" w:space="0" w:color="auto"/>
              <w:bottom w:val="single" w:sz="4" w:space="0" w:color="auto"/>
              <w:right w:val="single" w:sz="4" w:space="0" w:color="auto"/>
            </w:tcBorders>
            <w:vAlign w:val="center"/>
            <w:hideMark/>
          </w:tcPr>
          <w:p w:rsidR="00605220" w:rsidRPr="006971CE" w:rsidRDefault="00605220">
            <w:pPr>
              <w:spacing w:after="0" w:line="240" w:lineRule="auto"/>
              <w:rPr>
                <w:rFonts w:ascii="Times New Roman" w:hAnsi="Times New Roman" w:cs="Times New Roman"/>
                <w:sz w:val="18"/>
                <w:szCs w:val="20"/>
              </w:rPr>
            </w:pPr>
          </w:p>
        </w:tc>
        <w:tc>
          <w:tcPr>
            <w:tcW w:w="1860" w:type="dxa"/>
            <w:tcBorders>
              <w:top w:val="single" w:sz="4" w:space="0" w:color="auto"/>
              <w:left w:val="single" w:sz="4" w:space="0" w:color="auto"/>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Grade 1-4</w:t>
            </w:r>
          </w:p>
        </w:tc>
        <w:tc>
          <w:tcPr>
            <w:tcW w:w="1860" w:type="dxa"/>
            <w:tcBorders>
              <w:top w:val="single" w:sz="4" w:space="0" w:color="auto"/>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10</w:t>
            </w:r>
          </w:p>
        </w:tc>
        <w:tc>
          <w:tcPr>
            <w:tcW w:w="1818" w:type="dxa"/>
            <w:tcBorders>
              <w:top w:val="single" w:sz="4" w:space="0" w:color="auto"/>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10.1%</w:t>
            </w:r>
          </w:p>
        </w:tc>
      </w:tr>
      <w:tr w:rsidR="00605220" w:rsidRPr="006971CE" w:rsidTr="00605220">
        <w:trPr>
          <w:trHeight w:val="262"/>
        </w:trPr>
        <w:tc>
          <w:tcPr>
            <w:tcW w:w="7398" w:type="dxa"/>
            <w:vMerge/>
            <w:tcBorders>
              <w:top w:val="single" w:sz="4" w:space="0" w:color="auto"/>
              <w:left w:val="single" w:sz="4" w:space="0" w:color="auto"/>
              <w:bottom w:val="single" w:sz="4" w:space="0" w:color="auto"/>
              <w:right w:val="single" w:sz="4" w:space="0" w:color="auto"/>
            </w:tcBorders>
            <w:vAlign w:val="center"/>
            <w:hideMark/>
          </w:tcPr>
          <w:p w:rsidR="00605220" w:rsidRPr="006971CE" w:rsidRDefault="00605220">
            <w:pPr>
              <w:spacing w:after="0" w:line="240" w:lineRule="auto"/>
              <w:rPr>
                <w:rFonts w:ascii="Times New Roman" w:hAnsi="Times New Roman" w:cs="Times New Roman"/>
                <w:sz w:val="18"/>
                <w:szCs w:val="20"/>
              </w:rPr>
            </w:pPr>
          </w:p>
        </w:tc>
        <w:tc>
          <w:tcPr>
            <w:tcW w:w="1860" w:type="dxa"/>
            <w:tcBorders>
              <w:top w:val="single" w:sz="4" w:space="0" w:color="auto"/>
              <w:left w:val="single" w:sz="4" w:space="0" w:color="auto"/>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Grade 5-8</w:t>
            </w:r>
          </w:p>
        </w:tc>
        <w:tc>
          <w:tcPr>
            <w:tcW w:w="1860" w:type="dxa"/>
            <w:tcBorders>
              <w:top w:val="single" w:sz="4" w:space="0" w:color="auto"/>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10</w:t>
            </w:r>
          </w:p>
        </w:tc>
        <w:tc>
          <w:tcPr>
            <w:tcW w:w="1818" w:type="dxa"/>
            <w:tcBorders>
              <w:top w:val="single" w:sz="4" w:space="0" w:color="auto"/>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10.1%</w:t>
            </w:r>
          </w:p>
        </w:tc>
      </w:tr>
      <w:tr w:rsidR="00605220" w:rsidRPr="006971CE" w:rsidTr="00605220">
        <w:trPr>
          <w:trHeight w:val="269"/>
        </w:trPr>
        <w:tc>
          <w:tcPr>
            <w:tcW w:w="7398" w:type="dxa"/>
            <w:vMerge/>
            <w:tcBorders>
              <w:top w:val="single" w:sz="4" w:space="0" w:color="auto"/>
              <w:left w:val="single" w:sz="4" w:space="0" w:color="auto"/>
              <w:bottom w:val="single" w:sz="4" w:space="0" w:color="auto"/>
              <w:right w:val="single" w:sz="4" w:space="0" w:color="auto"/>
            </w:tcBorders>
            <w:vAlign w:val="center"/>
            <w:hideMark/>
          </w:tcPr>
          <w:p w:rsidR="00605220" w:rsidRPr="006971CE" w:rsidRDefault="00605220">
            <w:pPr>
              <w:spacing w:after="0" w:line="240" w:lineRule="auto"/>
              <w:rPr>
                <w:rFonts w:ascii="Times New Roman" w:hAnsi="Times New Roman" w:cs="Times New Roman"/>
                <w:sz w:val="18"/>
                <w:szCs w:val="20"/>
              </w:rPr>
            </w:pPr>
          </w:p>
        </w:tc>
        <w:tc>
          <w:tcPr>
            <w:tcW w:w="1860" w:type="dxa"/>
            <w:tcBorders>
              <w:top w:val="single" w:sz="4" w:space="0" w:color="auto"/>
              <w:left w:val="single" w:sz="4" w:space="0" w:color="auto"/>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Grade 9-10</w:t>
            </w:r>
          </w:p>
        </w:tc>
        <w:tc>
          <w:tcPr>
            <w:tcW w:w="1860" w:type="dxa"/>
            <w:tcBorders>
              <w:top w:val="single" w:sz="4" w:space="0" w:color="auto"/>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10</w:t>
            </w:r>
          </w:p>
        </w:tc>
        <w:tc>
          <w:tcPr>
            <w:tcW w:w="1818" w:type="dxa"/>
            <w:tcBorders>
              <w:top w:val="single" w:sz="4" w:space="0" w:color="auto"/>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10.1%</w:t>
            </w:r>
          </w:p>
        </w:tc>
      </w:tr>
      <w:tr w:rsidR="00605220" w:rsidRPr="006971CE" w:rsidTr="00605220">
        <w:trPr>
          <w:trHeight w:val="780"/>
        </w:trPr>
        <w:tc>
          <w:tcPr>
            <w:tcW w:w="7398" w:type="dxa"/>
            <w:vMerge/>
            <w:tcBorders>
              <w:top w:val="single" w:sz="4" w:space="0" w:color="auto"/>
              <w:left w:val="single" w:sz="4" w:space="0" w:color="auto"/>
              <w:bottom w:val="single" w:sz="4" w:space="0" w:color="auto"/>
              <w:right w:val="single" w:sz="4" w:space="0" w:color="auto"/>
            </w:tcBorders>
            <w:vAlign w:val="center"/>
            <w:hideMark/>
          </w:tcPr>
          <w:p w:rsidR="00605220" w:rsidRPr="006971CE" w:rsidRDefault="00605220">
            <w:pPr>
              <w:spacing w:after="0" w:line="240" w:lineRule="auto"/>
              <w:rPr>
                <w:rFonts w:ascii="Times New Roman" w:hAnsi="Times New Roman" w:cs="Times New Roman"/>
                <w:sz w:val="18"/>
                <w:szCs w:val="20"/>
              </w:rPr>
            </w:pPr>
          </w:p>
        </w:tc>
        <w:tc>
          <w:tcPr>
            <w:tcW w:w="1860" w:type="dxa"/>
            <w:tcBorders>
              <w:top w:val="single" w:sz="4" w:space="0" w:color="auto"/>
              <w:left w:val="single" w:sz="4" w:space="0" w:color="auto"/>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Grade 11 and above</w:t>
            </w:r>
          </w:p>
        </w:tc>
        <w:tc>
          <w:tcPr>
            <w:tcW w:w="1860" w:type="dxa"/>
            <w:tcBorders>
              <w:top w:val="single" w:sz="4" w:space="0" w:color="auto"/>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39</w:t>
            </w:r>
          </w:p>
        </w:tc>
        <w:tc>
          <w:tcPr>
            <w:tcW w:w="1818" w:type="dxa"/>
            <w:tcBorders>
              <w:top w:val="single" w:sz="4" w:space="0" w:color="auto"/>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39.4%</w:t>
            </w:r>
          </w:p>
        </w:tc>
      </w:tr>
      <w:tr w:rsidR="00605220" w:rsidRPr="006971CE" w:rsidTr="00605220">
        <w:trPr>
          <w:trHeight w:val="290"/>
        </w:trPr>
        <w:tc>
          <w:tcPr>
            <w:tcW w:w="7398" w:type="dxa"/>
            <w:vMerge/>
            <w:tcBorders>
              <w:top w:val="single" w:sz="4" w:space="0" w:color="auto"/>
              <w:left w:val="single" w:sz="4" w:space="0" w:color="auto"/>
              <w:bottom w:val="single" w:sz="4" w:space="0" w:color="auto"/>
              <w:right w:val="single" w:sz="4" w:space="0" w:color="auto"/>
            </w:tcBorders>
            <w:vAlign w:val="center"/>
            <w:hideMark/>
          </w:tcPr>
          <w:p w:rsidR="00605220" w:rsidRPr="006971CE" w:rsidRDefault="00605220">
            <w:pPr>
              <w:spacing w:after="0" w:line="240" w:lineRule="auto"/>
              <w:rPr>
                <w:rFonts w:ascii="Times New Roman" w:hAnsi="Times New Roman" w:cs="Times New Roman"/>
                <w:sz w:val="18"/>
                <w:szCs w:val="20"/>
              </w:rPr>
            </w:pPr>
          </w:p>
        </w:tc>
        <w:tc>
          <w:tcPr>
            <w:tcW w:w="1860" w:type="dxa"/>
            <w:tcBorders>
              <w:top w:val="single" w:sz="4" w:space="0" w:color="auto"/>
              <w:left w:val="single" w:sz="4" w:space="0" w:color="auto"/>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total</w:t>
            </w:r>
          </w:p>
        </w:tc>
        <w:tc>
          <w:tcPr>
            <w:tcW w:w="1860" w:type="dxa"/>
            <w:tcBorders>
              <w:top w:val="single" w:sz="4" w:space="0" w:color="auto"/>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99</w:t>
            </w:r>
          </w:p>
        </w:tc>
        <w:tc>
          <w:tcPr>
            <w:tcW w:w="1818" w:type="dxa"/>
            <w:tcBorders>
              <w:top w:val="single" w:sz="4" w:space="0" w:color="auto"/>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100%</w:t>
            </w:r>
          </w:p>
        </w:tc>
      </w:tr>
      <w:tr w:rsidR="00605220" w:rsidRPr="006971CE" w:rsidTr="00605220">
        <w:trPr>
          <w:trHeight w:val="355"/>
        </w:trPr>
        <w:tc>
          <w:tcPr>
            <w:tcW w:w="1860" w:type="dxa"/>
            <w:vMerge w:val="restart"/>
            <w:tcBorders>
              <w:top w:val="single" w:sz="4" w:space="0" w:color="auto"/>
              <w:left w:val="single" w:sz="4" w:space="0" w:color="auto"/>
              <w:bottom w:val="single" w:sz="2" w:space="0" w:color="000000"/>
              <w:right w:val="single" w:sz="6" w:space="0" w:color="000000"/>
            </w:tcBorders>
            <w:vAlign w:val="center"/>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MAIN ECONOMIC ACTIVTY</w:t>
            </w:r>
          </w:p>
        </w:tc>
        <w:tc>
          <w:tcPr>
            <w:tcW w:w="1860" w:type="dxa"/>
            <w:tcBorders>
              <w:top w:val="single" w:sz="4" w:space="0" w:color="auto"/>
              <w:left w:val="single" w:sz="6" w:space="0" w:color="000000"/>
              <w:bottom w:val="single" w:sz="6" w:space="0" w:color="000000"/>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Farmer</w:t>
            </w:r>
          </w:p>
        </w:tc>
        <w:tc>
          <w:tcPr>
            <w:tcW w:w="1860" w:type="dxa"/>
            <w:tcBorders>
              <w:top w:val="single" w:sz="4" w:space="0" w:color="auto"/>
              <w:left w:val="single" w:sz="6" w:space="0" w:color="000000"/>
              <w:bottom w:val="single" w:sz="6" w:space="0" w:color="000000"/>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20</w:t>
            </w:r>
          </w:p>
        </w:tc>
        <w:tc>
          <w:tcPr>
            <w:tcW w:w="1818" w:type="dxa"/>
            <w:tcBorders>
              <w:top w:val="single" w:sz="4" w:space="0" w:color="auto"/>
              <w:left w:val="single" w:sz="6" w:space="0" w:color="000000"/>
              <w:bottom w:val="single" w:sz="6" w:space="0" w:color="000000"/>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20.2%</w:t>
            </w:r>
          </w:p>
        </w:tc>
      </w:tr>
      <w:tr w:rsidR="00605220" w:rsidRPr="006971CE" w:rsidTr="00605220">
        <w:trPr>
          <w:trHeight w:val="213"/>
        </w:trPr>
        <w:tc>
          <w:tcPr>
            <w:tcW w:w="7398" w:type="dxa"/>
            <w:vMerge/>
            <w:tcBorders>
              <w:top w:val="single" w:sz="4" w:space="0" w:color="auto"/>
              <w:left w:val="single" w:sz="4" w:space="0" w:color="auto"/>
              <w:bottom w:val="single" w:sz="2" w:space="0" w:color="000000"/>
              <w:right w:val="single" w:sz="6" w:space="0" w:color="000000"/>
            </w:tcBorders>
            <w:vAlign w:val="center"/>
            <w:hideMark/>
          </w:tcPr>
          <w:p w:rsidR="00605220" w:rsidRPr="006971CE" w:rsidRDefault="00605220">
            <w:pPr>
              <w:spacing w:after="0" w:line="240" w:lineRule="auto"/>
              <w:rPr>
                <w:rFonts w:ascii="Times New Roman" w:hAnsi="Times New Roman" w:cs="Times New Roman"/>
                <w:sz w:val="18"/>
                <w:szCs w:val="20"/>
              </w:rPr>
            </w:pPr>
          </w:p>
        </w:tc>
        <w:tc>
          <w:tcPr>
            <w:tcW w:w="1860" w:type="dxa"/>
            <w:tcBorders>
              <w:top w:val="single" w:sz="6" w:space="0" w:color="000000"/>
              <w:left w:val="single" w:sz="6" w:space="0" w:color="000000"/>
              <w:bottom w:val="single" w:sz="6" w:space="0" w:color="000000"/>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trader</w:t>
            </w:r>
          </w:p>
        </w:tc>
        <w:tc>
          <w:tcPr>
            <w:tcW w:w="1860" w:type="dxa"/>
            <w:tcBorders>
              <w:top w:val="single" w:sz="6" w:space="0" w:color="000000"/>
              <w:left w:val="single" w:sz="6" w:space="0" w:color="000000"/>
              <w:bottom w:val="single" w:sz="6" w:space="0" w:color="000000"/>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15</w:t>
            </w:r>
          </w:p>
        </w:tc>
        <w:tc>
          <w:tcPr>
            <w:tcW w:w="1818" w:type="dxa"/>
            <w:tcBorders>
              <w:top w:val="single" w:sz="6" w:space="0" w:color="000000"/>
              <w:left w:val="single" w:sz="6" w:space="0" w:color="000000"/>
              <w:bottom w:val="single" w:sz="6" w:space="0" w:color="000000"/>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15.2%</w:t>
            </w:r>
          </w:p>
        </w:tc>
      </w:tr>
      <w:tr w:rsidR="00605220" w:rsidRPr="006971CE" w:rsidTr="00605220">
        <w:trPr>
          <w:trHeight w:val="213"/>
        </w:trPr>
        <w:tc>
          <w:tcPr>
            <w:tcW w:w="7398" w:type="dxa"/>
            <w:vMerge/>
            <w:tcBorders>
              <w:top w:val="single" w:sz="4" w:space="0" w:color="auto"/>
              <w:left w:val="single" w:sz="4" w:space="0" w:color="auto"/>
              <w:bottom w:val="single" w:sz="2" w:space="0" w:color="000000"/>
              <w:right w:val="single" w:sz="6" w:space="0" w:color="000000"/>
            </w:tcBorders>
            <w:vAlign w:val="center"/>
            <w:hideMark/>
          </w:tcPr>
          <w:p w:rsidR="00605220" w:rsidRPr="006971CE" w:rsidRDefault="00605220">
            <w:pPr>
              <w:spacing w:after="0" w:line="240" w:lineRule="auto"/>
              <w:rPr>
                <w:rFonts w:ascii="Times New Roman" w:hAnsi="Times New Roman" w:cs="Times New Roman"/>
                <w:sz w:val="18"/>
                <w:szCs w:val="20"/>
              </w:rPr>
            </w:pPr>
          </w:p>
        </w:tc>
        <w:tc>
          <w:tcPr>
            <w:tcW w:w="1860" w:type="dxa"/>
            <w:tcBorders>
              <w:top w:val="single" w:sz="6" w:space="0" w:color="000000"/>
              <w:left w:val="single" w:sz="6" w:space="0" w:color="000000"/>
              <w:bottom w:val="single" w:sz="6" w:space="0" w:color="000000"/>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Employee of government</w:t>
            </w:r>
          </w:p>
        </w:tc>
        <w:tc>
          <w:tcPr>
            <w:tcW w:w="1860" w:type="dxa"/>
            <w:tcBorders>
              <w:top w:val="single" w:sz="6" w:space="0" w:color="000000"/>
              <w:left w:val="single" w:sz="6" w:space="0" w:color="000000"/>
              <w:bottom w:val="single" w:sz="6" w:space="0" w:color="000000"/>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20</w:t>
            </w:r>
          </w:p>
        </w:tc>
        <w:tc>
          <w:tcPr>
            <w:tcW w:w="1818" w:type="dxa"/>
            <w:tcBorders>
              <w:top w:val="single" w:sz="6" w:space="0" w:color="000000"/>
              <w:left w:val="single" w:sz="6" w:space="0" w:color="000000"/>
              <w:bottom w:val="single" w:sz="6" w:space="0" w:color="000000"/>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20.2%</w:t>
            </w:r>
          </w:p>
        </w:tc>
      </w:tr>
      <w:tr w:rsidR="00605220" w:rsidRPr="006971CE" w:rsidTr="00605220">
        <w:trPr>
          <w:trHeight w:val="154"/>
        </w:trPr>
        <w:tc>
          <w:tcPr>
            <w:tcW w:w="7398" w:type="dxa"/>
            <w:vMerge/>
            <w:tcBorders>
              <w:top w:val="single" w:sz="4" w:space="0" w:color="auto"/>
              <w:left w:val="single" w:sz="4" w:space="0" w:color="auto"/>
              <w:bottom w:val="single" w:sz="2" w:space="0" w:color="000000"/>
              <w:right w:val="single" w:sz="6" w:space="0" w:color="000000"/>
            </w:tcBorders>
            <w:vAlign w:val="center"/>
            <w:hideMark/>
          </w:tcPr>
          <w:p w:rsidR="00605220" w:rsidRPr="006971CE" w:rsidRDefault="00605220">
            <w:pPr>
              <w:spacing w:after="0" w:line="240" w:lineRule="auto"/>
              <w:rPr>
                <w:rFonts w:ascii="Times New Roman" w:hAnsi="Times New Roman" w:cs="Times New Roman"/>
                <w:sz w:val="18"/>
                <w:szCs w:val="20"/>
              </w:rPr>
            </w:pPr>
          </w:p>
        </w:tc>
        <w:tc>
          <w:tcPr>
            <w:tcW w:w="1860" w:type="dxa"/>
            <w:tcBorders>
              <w:top w:val="single" w:sz="6" w:space="0" w:color="000000"/>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pensioner</w:t>
            </w:r>
          </w:p>
        </w:tc>
        <w:tc>
          <w:tcPr>
            <w:tcW w:w="1860" w:type="dxa"/>
            <w:tcBorders>
              <w:top w:val="single" w:sz="6" w:space="0" w:color="000000"/>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 xml:space="preserve">  5                                  </w:t>
            </w:r>
          </w:p>
        </w:tc>
        <w:tc>
          <w:tcPr>
            <w:tcW w:w="1818" w:type="dxa"/>
            <w:tcBorders>
              <w:top w:val="single" w:sz="6" w:space="0" w:color="000000"/>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5.1%</w:t>
            </w:r>
          </w:p>
        </w:tc>
      </w:tr>
      <w:tr w:rsidR="00605220" w:rsidRPr="006971CE" w:rsidTr="00605220">
        <w:trPr>
          <w:trHeight w:val="349"/>
        </w:trPr>
        <w:tc>
          <w:tcPr>
            <w:tcW w:w="7398" w:type="dxa"/>
            <w:vMerge/>
            <w:tcBorders>
              <w:top w:val="single" w:sz="4" w:space="0" w:color="auto"/>
              <w:left w:val="single" w:sz="4" w:space="0" w:color="auto"/>
              <w:bottom w:val="single" w:sz="2" w:space="0" w:color="000000"/>
              <w:right w:val="single" w:sz="6" w:space="0" w:color="000000"/>
            </w:tcBorders>
            <w:vAlign w:val="center"/>
            <w:hideMark/>
          </w:tcPr>
          <w:p w:rsidR="00605220" w:rsidRPr="006971CE" w:rsidRDefault="00605220">
            <w:pPr>
              <w:spacing w:after="0" w:line="240" w:lineRule="auto"/>
              <w:rPr>
                <w:rFonts w:ascii="Times New Roman" w:hAnsi="Times New Roman" w:cs="Times New Roman"/>
                <w:sz w:val="18"/>
                <w:szCs w:val="20"/>
              </w:rPr>
            </w:pPr>
          </w:p>
        </w:tc>
        <w:tc>
          <w:tcPr>
            <w:tcW w:w="1860" w:type="dxa"/>
            <w:tcBorders>
              <w:top w:val="single" w:sz="4" w:space="0" w:color="auto"/>
              <w:left w:val="single" w:sz="6" w:space="0" w:color="000000"/>
              <w:bottom w:val="single" w:sz="6" w:space="0" w:color="000000"/>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other</w:t>
            </w:r>
          </w:p>
        </w:tc>
        <w:tc>
          <w:tcPr>
            <w:tcW w:w="1860" w:type="dxa"/>
            <w:tcBorders>
              <w:top w:val="single" w:sz="4" w:space="0" w:color="auto"/>
              <w:left w:val="single" w:sz="6" w:space="0" w:color="000000"/>
              <w:bottom w:val="single" w:sz="6" w:space="0" w:color="000000"/>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39</w:t>
            </w:r>
          </w:p>
        </w:tc>
        <w:tc>
          <w:tcPr>
            <w:tcW w:w="1818" w:type="dxa"/>
            <w:tcBorders>
              <w:top w:val="single" w:sz="4" w:space="0" w:color="auto"/>
              <w:left w:val="single" w:sz="6" w:space="0" w:color="000000"/>
              <w:bottom w:val="single" w:sz="6" w:space="0" w:color="000000"/>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39.4%</w:t>
            </w:r>
          </w:p>
        </w:tc>
      </w:tr>
      <w:tr w:rsidR="00605220" w:rsidRPr="006971CE" w:rsidTr="00605220">
        <w:trPr>
          <w:trHeight w:val="213"/>
        </w:trPr>
        <w:tc>
          <w:tcPr>
            <w:tcW w:w="1860" w:type="dxa"/>
            <w:vMerge w:val="restart"/>
            <w:tcBorders>
              <w:top w:val="single" w:sz="4" w:space="0" w:color="auto"/>
              <w:left w:val="single" w:sz="6" w:space="0" w:color="000000"/>
              <w:bottom w:val="single" w:sz="6" w:space="0" w:color="auto"/>
              <w:right w:val="single" w:sz="6" w:space="0" w:color="000000"/>
            </w:tcBorders>
            <w:vAlign w:val="bottom"/>
          </w:tcPr>
          <w:p w:rsidR="00605220" w:rsidRPr="006971CE" w:rsidRDefault="00605220">
            <w:pPr>
              <w:spacing w:line="360" w:lineRule="auto"/>
              <w:rPr>
                <w:rFonts w:ascii="Times New Roman" w:hAnsi="Times New Roman" w:cs="Times New Roman"/>
                <w:sz w:val="18"/>
                <w:szCs w:val="20"/>
              </w:rPr>
            </w:pPr>
          </w:p>
        </w:tc>
        <w:tc>
          <w:tcPr>
            <w:tcW w:w="1860" w:type="dxa"/>
            <w:tcBorders>
              <w:top w:val="single" w:sz="6" w:space="0" w:color="000000"/>
              <w:left w:val="single" w:sz="6" w:space="0" w:color="000000"/>
              <w:bottom w:val="single" w:sz="6" w:space="0" w:color="000000"/>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Total</w:t>
            </w:r>
          </w:p>
        </w:tc>
        <w:tc>
          <w:tcPr>
            <w:tcW w:w="1860" w:type="dxa"/>
            <w:tcBorders>
              <w:top w:val="single" w:sz="6" w:space="0" w:color="000000"/>
              <w:left w:val="single" w:sz="6" w:space="0" w:color="000000"/>
              <w:bottom w:val="single" w:sz="6" w:space="0" w:color="000000"/>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99</w:t>
            </w:r>
          </w:p>
        </w:tc>
        <w:tc>
          <w:tcPr>
            <w:tcW w:w="1818" w:type="dxa"/>
            <w:tcBorders>
              <w:top w:val="single" w:sz="6" w:space="0" w:color="000000"/>
              <w:left w:val="single" w:sz="6" w:space="0" w:color="000000"/>
              <w:bottom w:val="single" w:sz="4" w:space="0" w:color="auto"/>
              <w:right w:val="single" w:sz="6" w:space="0" w:color="000000"/>
            </w:tcBorders>
            <w:vAlign w:val="bottom"/>
            <w:hideMark/>
          </w:tcPr>
          <w:p w:rsidR="00605220" w:rsidRPr="006971CE" w:rsidRDefault="00605220">
            <w:pPr>
              <w:spacing w:line="360" w:lineRule="auto"/>
              <w:rPr>
                <w:rFonts w:ascii="Times New Roman" w:hAnsi="Times New Roman" w:cs="Times New Roman"/>
                <w:sz w:val="18"/>
                <w:szCs w:val="20"/>
              </w:rPr>
            </w:pPr>
            <w:r w:rsidRPr="006971CE">
              <w:rPr>
                <w:rFonts w:ascii="Times New Roman" w:hAnsi="Times New Roman" w:cs="Times New Roman"/>
                <w:sz w:val="18"/>
                <w:szCs w:val="20"/>
              </w:rPr>
              <w:t>100%</w:t>
            </w:r>
          </w:p>
        </w:tc>
      </w:tr>
      <w:tr w:rsidR="00605220" w:rsidRPr="006971CE" w:rsidTr="00605220">
        <w:trPr>
          <w:trHeight w:val="40"/>
        </w:trPr>
        <w:tc>
          <w:tcPr>
            <w:tcW w:w="7398" w:type="dxa"/>
            <w:vMerge/>
            <w:tcBorders>
              <w:top w:val="single" w:sz="4" w:space="0" w:color="auto"/>
              <w:left w:val="single" w:sz="6" w:space="0" w:color="000000"/>
              <w:bottom w:val="single" w:sz="6" w:space="0" w:color="auto"/>
              <w:right w:val="single" w:sz="6" w:space="0" w:color="000000"/>
            </w:tcBorders>
            <w:vAlign w:val="center"/>
            <w:hideMark/>
          </w:tcPr>
          <w:p w:rsidR="00605220" w:rsidRPr="006971CE" w:rsidRDefault="00605220">
            <w:pPr>
              <w:spacing w:after="0" w:line="240" w:lineRule="auto"/>
              <w:rPr>
                <w:rFonts w:ascii="Times New Roman" w:hAnsi="Times New Roman" w:cs="Times New Roman"/>
                <w:sz w:val="18"/>
                <w:szCs w:val="20"/>
              </w:rPr>
            </w:pPr>
          </w:p>
        </w:tc>
        <w:tc>
          <w:tcPr>
            <w:tcW w:w="1860" w:type="dxa"/>
            <w:tcBorders>
              <w:top w:val="single" w:sz="6" w:space="0" w:color="000000"/>
              <w:left w:val="single" w:sz="6" w:space="0" w:color="000000"/>
              <w:bottom w:val="single" w:sz="6" w:space="0" w:color="000000"/>
              <w:right w:val="single" w:sz="6" w:space="0" w:color="000000"/>
            </w:tcBorders>
            <w:vAlign w:val="bottom"/>
          </w:tcPr>
          <w:p w:rsidR="00605220" w:rsidRPr="006971CE" w:rsidRDefault="00605220">
            <w:pPr>
              <w:spacing w:line="360" w:lineRule="auto"/>
              <w:rPr>
                <w:rFonts w:ascii="Times New Roman" w:hAnsi="Times New Roman" w:cs="Times New Roman"/>
                <w:sz w:val="18"/>
                <w:szCs w:val="20"/>
              </w:rPr>
            </w:pPr>
          </w:p>
        </w:tc>
        <w:tc>
          <w:tcPr>
            <w:tcW w:w="1860" w:type="dxa"/>
            <w:tcBorders>
              <w:top w:val="single" w:sz="6" w:space="0" w:color="000000"/>
              <w:left w:val="single" w:sz="6" w:space="0" w:color="000000"/>
              <w:bottom w:val="single" w:sz="6" w:space="0" w:color="000000"/>
              <w:right w:val="single" w:sz="6" w:space="0" w:color="000000"/>
            </w:tcBorders>
            <w:vAlign w:val="bottom"/>
          </w:tcPr>
          <w:p w:rsidR="00605220" w:rsidRPr="006971CE" w:rsidRDefault="00605220">
            <w:pPr>
              <w:spacing w:line="360" w:lineRule="auto"/>
              <w:rPr>
                <w:rFonts w:ascii="Times New Roman" w:hAnsi="Times New Roman" w:cs="Times New Roman"/>
                <w:sz w:val="18"/>
                <w:szCs w:val="20"/>
              </w:rPr>
            </w:pPr>
          </w:p>
        </w:tc>
        <w:tc>
          <w:tcPr>
            <w:tcW w:w="1818" w:type="dxa"/>
            <w:tcBorders>
              <w:top w:val="single" w:sz="4" w:space="0" w:color="auto"/>
              <w:left w:val="single" w:sz="6" w:space="0" w:color="000000"/>
              <w:bottom w:val="single" w:sz="6" w:space="0" w:color="000000"/>
              <w:right w:val="single" w:sz="6" w:space="0" w:color="000000"/>
            </w:tcBorders>
            <w:vAlign w:val="bottom"/>
          </w:tcPr>
          <w:p w:rsidR="00605220" w:rsidRPr="006971CE" w:rsidRDefault="00605220">
            <w:pPr>
              <w:spacing w:line="360" w:lineRule="auto"/>
              <w:rPr>
                <w:rFonts w:ascii="Times New Roman" w:hAnsi="Times New Roman" w:cs="Times New Roman"/>
                <w:sz w:val="18"/>
                <w:szCs w:val="20"/>
              </w:rPr>
            </w:pPr>
          </w:p>
        </w:tc>
      </w:tr>
    </w:tbl>
    <w:p w:rsidR="00605220" w:rsidRPr="006971CE" w:rsidRDefault="00605220" w:rsidP="006971CE">
      <w:pPr>
        <w:spacing w:line="360" w:lineRule="auto"/>
        <w:ind w:right="537"/>
        <w:jc w:val="both"/>
        <w:rPr>
          <w:rFonts w:ascii="Times New Roman" w:hAnsi="Times New Roman" w:cs="Times New Roman"/>
          <w:sz w:val="24"/>
          <w:szCs w:val="24"/>
          <w:lang w:val="en-US"/>
        </w:rPr>
      </w:pPr>
      <w:r w:rsidRPr="006971CE">
        <w:rPr>
          <w:rFonts w:ascii="Times New Roman" w:hAnsi="Times New Roman" w:cs="Times New Roman"/>
          <w:sz w:val="24"/>
          <w:szCs w:val="24"/>
        </w:rPr>
        <w:t>Source own, survey</w:t>
      </w:r>
      <w:proofErr w:type="gramStart"/>
      <w:r w:rsidRPr="006971CE">
        <w:rPr>
          <w:rFonts w:ascii="Times New Roman" w:hAnsi="Times New Roman" w:cs="Times New Roman"/>
          <w:sz w:val="24"/>
          <w:szCs w:val="24"/>
        </w:rPr>
        <w:t>:2025</w:t>
      </w:r>
      <w:proofErr w:type="gramEnd"/>
    </w:p>
    <w:p w:rsidR="00A7152E" w:rsidRPr="00A7152E" w:rsidRDefault="00A7152E" w:rsidP="00A7152E">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6971CE">
        <w:rPr>
          <w:rFonts w:ascii="Times New Roman" w:eastAsia="Times New Roman" w:hAnsi="Times New Roman" w:cs="Times New Roman"/>
          <w:b/>
          <w:bCs/>
          <w:sz w:val="24"/>
          <w:szCs w:val="24"/>
          <w:lang w:eastAsia="en-GB"/>
        </w:rPr>
        <w:t>Interpretation</w:t>
      </w:r>
    </w:p>
    <w:p w:rsidR="00A7152E" w:rsidRPr="00A7152E" w:rsidRDefault="00A7152E" w:rsidP="00A7152E">
      <w:pPr>
        <w:spacing w:before="100" w:beforeAutospacing="1" w:after="100" w:afterAutospacing="1" w:line="240" w:lineRule="auto"/>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 xml:space="preserve">The data show that </w:t>
      </w:r>
      <w:proofErr w:type="spellStart"/>
      <w:r w:rsidRPr="006971CE">
        <w:rPr>
          <w:rFonts w:ascii="Times New Roman" w:eastAsia="Times New Roman" w:hAnsi="Times New Roman" w:cs="Times New Roman"/>
          <w:b/>
          <w:bCs/>
          <w:sz w:val="24"/>
          <w:szCs w:val="24"/>
          <w:lang w:eastAsia="en-GB"/>
        </w:rPr>
        <w:t>Dessie’s</w:t>
      </w:r>
      <w:proofErr w:type="spellEnd"/>
      <w:r w:rsidRPr="006971CE">
        <w:rPr>
          <w:rFonts w:ascii="Times New Roman" w:eastAsia="Times New Roman" w:hAnsi="Times New Roman" w:cs="Times New Roman"/>
          <w:b/>
          <w:bCs/>
          <w:sz w:val="24"/>
          <w:szCs w:val="24"/>
          <w:lang w:eastAsia="en-GB"/>
        </w:rPr>
        <w:t xml:space="preserve"> </w:t>
      </w:r>
      <w:proofErr w:type="spellStart"/>
      <w:r w:rsidRPr="006971CE">
        <w:rPr>
          <w:rFonts w:ascii="Times New Roman" w:eastAsia="Times New Roman" w:hAnsi="Times New Roman" w:cs="Times New Roman"/>
          <w:b/>
          <w:bCs/>
          <w:sz w:val="24"/>
          <w:szCs w:val="24"/>
          <w:lang w:eastAsia="en-GB"/>
        </w:rPr>
        <w:t>peri</w:t>
      </w:r>
      <w:proofErr w:type="spellEnd"/>
      <w:r w:rsidRPr="006971CE">
        <w:rPr>
          <w:rFonts w:ascii="Times New Roman" w:eastAsia="Times New Roman" w:hAnsi="Times New Roman" w:cs="Times New Roman"/>
          <w:b/>
          <w:bCs/>
          <w:sz w:val="24"/>
          <w:szCs w:val="24"/>
          <w:lang w:eastAsia="en-GB"/>
        </w:rPr>
        <w:t>-urban economy is diverse</w:t>
      </w:r>
      <w:r w:rsidRPr="00A7152E">
        <w:rPr>
          <w:rFonts w:ascii="Times New Roman" w:eastAsia="Times New Roman" w:hAnsi="Times New Roman" w:cs="Times New Roman"/>
          <w:sz w:val="24"/>
          <w:szCs w:val="24"/>
          <w:lang w:eastAsia="en-GB"/>
        </w:rPr>
        <w:t>, not exclusively agricultural. This is important: vulnerability to urban expa</w:t>
      </w:r>
      <w:r w:rsidRPr="006971CE">
        <w:rPr>
          <w:rFonts w:ascii="Times New Roman" w:eastAsia="Times New Roman" w:hAnsi="Times New Roman" w:cs="Times New Roman"/>
          <w:sz w:val="24"/>
          <w:szCs w:val="24"/>
          <w:lang w:eastAsia="en-GB"/>
        </w:rPr>
        <w:t xml:space="preserve">nsion is not limited to farmers </w:t>
      </w:r>
      <w:r w:rsidRPr="00A7152E">
        <w:rPr>
          <w:rFonts w:ascii="Times New Roman" w:eastAsia="Times New Roman" w:hAnsi="Times New Roman" w:cs="Times New Roman"/>
          <w:sz w:val="24"/>
          <w:szCs w:val="24"/>
          <w:lang w:eastAsia="en-GB"/>
        </w:rPr>
        <w:t>many non-farm residents also experience displacement and rising living costs.</w:t>
      </w:r>
    </w:p>
    <w:p w:rsidR="00A7152E" w:rsidRPr="00A7152E" w:rsidRDefault="00A7152E" w:rsidP="00A7152E">
      <w:pPr>
        <w:spacing w:before="100" w:beforeAutospacing="1" w:after="100" w:afterAutospacing="1" w:line="240" w:lineRule="auto"/>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Key observations:</w:t>
      </w:r>
    </w:p>
    <w:p w:rsidR="006971CE" w:rsidRPr="006971CE" w:rsidRDefault="00A7152E" w:rsidP="006971CE">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6971CE">
        <w:rPr>
          <w:rFonts w:ascii="Times New Roman" w:eastAsia="Times New Roman" w:hAnsi="Times New Roman" w:cs="Times New Roman"/>
          <w:sz w:val="24"/>
          <w:szCs w:val="24"/>
          <w:lang w:eastAsia="en-GB"/>
        </w:rPr>
        <w:t xml:space="preserve">Nearly </w:t>
      </w:r>
      <w:r w:rsidRPr="006971CE">
        <w:rPr>
          <w:rFonts w:ascii="Times New Roman" w:eastAsia="Times New Roman" w:hAnsi="Times New Roman" w:cs="Times New Roman"/>
          <w:b/>
          <w:bCs/>
          <w:sz w:val="24"/>
          <w:szCs w:val="24"/>
          <w:lang w:eastAsia="en-GB"/>
        </w:rPr>
        <w:t>40%</w:t>
      </w:r>
      <w:r w:rsidRPr="006971CE">
        <w:rPr>
          <w:rFonts w:ascii="Times New Roman" w:eastAsia="Times New Roman" w:hAnsi="Times New Roman" w:cs="Times New Roman"/>
          <w:sz w:val="24"/>
          <w:szCs w:val="24"/>
          <w:lang w:eastAsia="en-GB"/>
        </w:rPr>
        <w:t xml:space="preserve"> have education Grade 11 and </w:t>
      </w:r>
      <w:proofErr w:type="gramStart"/>
      <w:r w:rsidRPr="006971CE">
        <w:rPr>
          <w:rFonts w:ascii="Times New Roman" w:eastAsia="Times New Roman" w:hAnsi="Times New Roman" w:cs="Times New Roman"/>
          <w:sz w:val="24"/>
          <w:szCs w:val="24"/>
          <w:lang w:eastAsia="en-GB"/>
        </w:rPr>
        <w:t>above  higher</w:t>
      </w:r>
      <w:proofErr w:type="gramEnd"/>
      <w:r w:rsidRPr="006971CE">
        <w:rPr>
          <w:rFonts w:ascii="Times New Roman" w:eastAsia="Times New Roman" w:hAnsi="Times New Roman" w:cs="Times New Roman"/>
          <w:sz w:val="24"/>
          <w:szCs w:val="24"/>
          <w:lang w:eastAsia="en-GB"/>
        </w:rPr>
        <w:t xml:space="preserve"> awareness of procedural injustice.</w:t>
      </w:r>
    </w:p>
    <w:p w:rsidR="006971CE" w:rsidRPr="006971CE" w:rsidRDefault="00A7152E" w:rsidP="006971CE">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6971CE">
        <w:rPr>
          <w:rFonts w:ascii="Times New Roman" w:eastAsia="Times New Roman" w:hAnsi="Times New Roman" w:cs="Times New Roman"/>
          <w:sz w:val="24"/>
          <w:szCs w:val="24"/>
          <w:lang w:eastAsia="en-GB"/>
        </w:rPr>
        <w:t xml:space="preserve">Nearly </w:t>
      </w:r>
      <w:r w:rsidRPr="006971CE">
        <w:rPr>
          <w:rFonts w:ascii="Times New Roman" w:eastAsia="Times New Roman" w:hAnsi="Times New Roman" w:cs="Times New Roman"/>
          <w:b/>
          <w:bCs/>
          <w:sz w:val="24"/>
          <w:szCs w:val="24"/>
          <w:lang w:eastAsia="en-GB"/>
        </w:rPr>
        <w:t>40%</w:t>
      </w:r>
      <w:r w:rsidRPr="006971CE">
        <w:rPr>
          <w:rFonts w:ascii="Times New Roman" w:eastAsia="Times New Roman" w:hAnsi="Times New Roman" w:cs="Times New Roman"/>
          <w:sz w:val="24"/>
          <w:szCs w:val="24"/>
          <w:lang w:eastAsia="en-GB"/>
        </w:rPr>
        <w:t xml:space="preserve"> work in “other” informal activities indicates livelihood </w:t>
      </w:r>
      <w:proofErr w:type="spellStart"/>
      <w:r w:rsidRPr="006971CE">
        <w:rPr>
          <w:rFonts w:ascii="Times New Roman" w:eastAsia="Times New Roman" w:hAnsi="Times New Roman" w:cs="Times New Roman"/>
          <w:sz w:val="24"/>
          <w:szCs w:val="24"/>
          <w:lang w:eastAsia="en-GB"/>
        </w:rPr>
        <w:t>precarity</w:t>
      </w:r>
      <w:proofErr w:type="spellEnd"/>
      <w:r w:rsidRPr="006971CE">
        <w:rPr>
          <w:rFonts w:ascii="Times New Roman" w:eastAsia="Times New Roman" w:hAnsi="Times New Roman" w:cs="Times New Roman"/>
          <w:sz w:val="24"/>
          <w:szCs w:val="24"/>
          <w:lang w:eastAsia="en-GB"/>
        </w:rPr>
        <w:t xml:space="preserve"> even before expansion.</w:t>
      </w:r>
    </w:p>
    <w:p w:rsidR="00A7152E" w:rsidRPr="006971CE" w:rsidRDefault="00A7152E" w:rsidP="006971CE">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GB"/>
        </w:rPr>
      </w:pPr>
      <w:r w:rsidRPr="006971CE">
        <w:rPr>
          <w:rFonts w:ascii="Times New Roman" w:eastAsia="Times New Roman" w:hAnsi="Times New Roman" w:cs="Times New Roman"/>
          <w:sz w:val="24"/>
          <w:szCs w:val="24"/>
          <w:lang w:eastAsia="en-GB"/>
        </w:rPr>
        <w:lastRenderedPageBreak/>
        <w:t xml:space="preserve">Farmers represent </w:t>
      </w:r>
      <w:r w:rsidRPr="006971CE">
        <w:rPr>
          <w:rFonts w:ascii="Times New Roman" w:eastAsia="Times New Roman" w:hAnsi="Times New Roman" w:cs="Times New Roman"/>
          <w:b/>
          <w:bCs/>
          <w:sz w:val="24"/>
          <w:szCs w:val="24"/>
          <w:lang w:eastAsia="en-GB"/>
        </w:rPr>
        <w:t>only 20%</w:t>
      </w:r>
      <w:r w:rsidRPr="006971CE">
        <w:rPr>
          <w:rFonts w:ascii="Times New Roman" w:eastAsia="Times New Roman" w:hAnsi="Times New Roman" w:cs="Times New Roman"/>
          <w:sz w:val="24"/>
          <w:szCs w:val="24"/>
          <w:lang w:eastAsia="en-GB"/>
        </w:rPr>
        <w:t>, yet still appear most severely affected due to land dependence.</w:t>
      </w:r>
    </w:p>
    <w:p w:rsidR="00A7152E" w:rsidRPr="00A7152E" w:rsidRDefault="00A7152E" w:rsidP="00A7152E">
      <w:pPr>
        <w:spacing w:before="100" w:beforeAutospacing="1" w:after="100" w:afterAutospacing="1" w:line="240" w:lineRule="auto"/>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 xml:space="preserve">This diversity aligns with Wang &amp; Lu (2021), who note that </w:t>
      </w:r>
      <w:proofErr w:type="spellStart"/>
      <w:r w:rsidRPr="00A7152E">
        <w:rPr>
          <w:rFonts w:ascii="Times New Roman" w:eastAsia="Times New Roman" w:hAnsi="Times New Roman" w:cs="Times New Roman"/>
          <w:sz w:val="24"/>
          <w:szCs w:val="24"/>
          <w:lang w:eastAsia="en-GB"/>
        </w:rPr>
        <w:t>peri</w:t>
      </w:r>
      <w:proofErr w:type="spellEnd"/>
      <w:r w:rsidRPr="00A7152E">
        <w:rPr>
          <w:rFonts w:ascii="Times New Roman" w:eastAsia="Times New Roman" w:hAnsi="Times New Roman" w:cs="Times New Roman"/>
          <w:sz w:val="24"/>
          <w:szCs w:val="24"/>
          <w:lang w:eastAsia="en-GB"/>
        </w:rPr>
        <w:t>-urban communities increasingly blend rural agriculture with info</w:t>
      </w:r>
      <w:r w:rsidRPr="006971CE">
        <w:rPr>
          <w:rFonts w:ascii="Times New Roman" w:eastAsia="Times New Roman" w:hAnsi="Times New Roman" w:cs="Times New Roman"/>
          <w:sz w:val="24"/>
          <w:szCs w:val="24"/>
          <w:lang w:eastAsia="en-GB"/>
        </w:rPr>
        <w:t xml:space="preserve">rmal, fragile urban livelihoods </w:t>
      </w:r>
      <w:r w:rsidRPr="00A7152E">
        <w:rPr>
          <w:rFonts w:ascii="Times New Roman" w:eastAsia="Times New Roman" w:hAnsi="Times New Roman" w:cs="Times New Roman"/>
          <w:sz w:val="24"/>
          <w:szCs w:val="24"/>
          <w:lang w:eastAsia="en-GB"/>
        </w:rPr>
        <w:t>making them highly vulnerable to displacement.</w:t>
      </w:r>
    </w:p>
    <w:p w:rsidR="00A7152E" w:rsidRPr="00A7152E" w:rsidRDefault="00A7152E" w:rsidP="00A7152E">
      <w:pPr>
        <w:spacing w:after="0" w:line="240" w:lineRule="auto"/>
        <w:rPr>
          <w:rFonts w:ascii="Times New Roman" w:eastAsia="Times New Roman" w:hAnsi="Times New Roman" w:cs="Times New Roman"/>
          <w:sz w:val="24"/>
          <w:szCs w:val="24"/>
          <w:lang w:eastAsia="en-GB"/>
        </w:rPr>
      </w:pPr>
    </w:p>
    <w:p w:rsidR="00A7152E" w:rsidRPr="00A7152E" w:rsidRDefault="00A7152E" w:rsidP="00A7152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GB"/>
        </w:rPr>
      </w:pPr>
      <w:r w:rsidRPr="006971CE">
        <w:rPr>
          <w:rFonts w:ascii="Times New Roman" w:eastAsia="Times New Roman" w:hAnsi="Times New Roman" w:cs="Times New Roman"/>
          <w:b/>
          <w:bCs/>
          <w:kern w:val="36"/>
          <w:sz w:val="24"/>
          <w:szCs w:val="24"/>
          <w:lang w:eastAsia="en-GB"/>
        </w:rPr>
        <w:t xml:space="preserve">4.2 Primary Drivers of Urban Expansion in </w:t>
      </w:r>
      <w:proofErr w:type="spellStart"/>
      <w:r w:rsidRPr="006971CE">
        <w:rPr>
          <w:rFonts w:ascii="Times New Roman" w:eastAsia="Times New Roman" w:hAnsi="Times New Roman" w:cs="Times New Roman"/>
          <w:b/>
          <w:bCs/>
          <w:kern w:val="36"/>
          <w:sz w:val="24"/>
          <w:szCs w:val="24"/>
          <w:lang w:eastAsia="en-GB"/>
        </w:rPr>
        <w:t>Dessie</w:t>
      </w:r>
      <w:proofErr w:type="spellEnd"/>
      <w:r w:rsidRPr="006971CE">
        <w:rPr>
          <w:rFonts w:ascii="Times New Roman" w:eastAsia="Times New Roman" w:hAnsi="Times New Roman" w:cs="Times New Roman"/>
          <w:b/>
          <w:bCs/>
          <w:kern w:val="36"/>
          <w:sz w:val="24"/>
          <w:szCs w:val="24"/>
          <w:lang w:eastAsia="en-GB"/>
        </w:rPr>
        <w:t xml:space="preserve"> (Specific Objective 1)</w:t>
      </w:r>
    </w:p>
    <w:p w:rsidR="00A7152E" w:rsidRPr="00A7152E" w:rsidRDefault="00A7152E" w:rsidP="00A7152E">
      <w:pPr>
        <w:spacing w:before="100" w:beforeAutospacing="1" w:after="100" w:afterAutospacing="1" w:line="240" w:lineRule="auto"/>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 xml:space="preserve">Respondents were asked to identify what they believe drives the rapid expansion of </w:t>
      </w:r>
      <w:proofErr w:type="spellStart"/>
      <w:r w:rsidRPr="00A7152E">
        <w:rPr>
          <w:rFonts w:ascii="Times New Roman" w:eastAsia="Times New Roman" w:hAnsi="Times New Roman" w:cs="Times New Roman"/>
          <w:sz w:val="24"/>
          <w:szCs w:val="24"/>
          <w:lang w:eastAsia="en-GB"/>
        </w:rPr>
        <w:t>Dessie</w:t>
      </w:r>
      <w:proofErr w:type="spellEnd"/>
      <w:r w:rsidRPr="00A7152E">
        <w:rPr>
          <w:rFonts w:ascii="Times New Roman" w:eastAsia="Times New Roman" w:hAnsi="Times New Roman" w:cs="Times New Roman"/>
          <w:sz w:val="24"/>
          <w:szCs w:val="24"/>
          <w:lang w:eastAsia="en-GB"/>
        </w:rPr>
        <w:t>. Their perceptions provide insight into local interpretations of structural forces behind land conversion.</w:t>
      </w:r>
    </w:p>
    <w:p w:rsidR="00605220" w:rsidRPr="006971CE" w:rsidRDefault="00605220" w:rsidP="00605220">
      <w:pPr>
        <w:spacing w:before="240" w:after="240"/>
        <w:rPr>
          <w:rFonts w:ascii="Times New Roman" w:eastAsia="Calibri" w:hAnsi="Times New Roman" w:cs="Times New Roman"/>
          <w:color w:val="000000" w:themeColor="text1"/>
        </w:rPr>
      </w:pPr>
      <w:proofErr w:type="spellStart"/>
      <w:r w:rsidRPr="006971CE">
        <w:rPr>
          <w:rFonts w:ascii="Times New Roman" w:eastAsia="Calibri" w:hAnsi="Times New Roman" w:cs="Times New Roman"/>
          <w:color w:val="000000" w:themeColor="text1"/>
        </w:rPr>
        <w:t>Tabel</w:t>
      </w:r>
      <w:proofErr w:type="spellEnd"/>
      <w:r w:rsidRPr="006971CE">
        <w:rPr>
          <w:rFonts w:ascii="Times New Roman" w:eastAsia="Calibri" w:hAnsi="Times New Roman" w:cs="Times New Roman"/>
          <w:color w:val="000000" w:themeColor="text1"/>
        </w:rPr>
        <w:t xml:space="preserve"> 4.2: Main Causes of </w:t>
      </w:r>
      <w:proofErr w:type="spellStart"/>
      <w:r w:rsidRPr="006971CE">
        <w:rPr>
          <w:rFonts w:ascii="Times New Roman" w:eastAsia="Calibri" w:hAnsi="Times New Roman" w:cs="Times New Roman"/>
          <w:color w:val="000000" w:themeColor="text1"/>
        </w:rPr>
        <w:t>Dessie</w:t>
      </w:r>
      <w:proofErr w:type="spellEnd"/>
      <w:r w:rsidRPr="006971CE">
        <w:rPr>
          <w:rFonts w:ascii="Times New Roman" w:eastAsia="Calibri" w:hAnsi="Times New Roman" w:cs="Times New Roman"/>
          <w:color w:val="000000" w:themeColor="text1"/>
        </w:rPr>
        <w:t xml:space="preserve"> city’s Horizontal Expansion</w:t>
      </w:r>
    </w:p>
    <w:tbl>
      <w:tblPr>
        <w:tblStyle w:val="TableGrid"/>
        <w:tblW w:w="0" w:type="auto"/>
        <w:tblInd w:w="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4890"/>
        <w:gridCol w:w="1695"/>
        <w:gridCol w:w="2220"/>
      </w:tblGrid>
      <w:tr w:rsidR="00605220" w:rsidRPr="006971CE" w:rsidTr="00605220">
        <w:trPr>
          <w:trHeight w:val="300"/>
        </w:trPr>
        <w:tc>
          <w:tcPr>
            <w:tcW w:w="4890" w:type="dxa"/>
            <w:tcBorders>
              <w:top w:val="single" w:sz="6" w:space="0" w:color="auto"/>
              <w:left w:val="single" w:sz="6" w:space="0" w:color="auto"/>
              <w:bottom w:val="single" w:sz="4" w:space="0" w:color="000000" w:themeColor="text1"/>
              <w:right w:val="single" w:sz="4" w:space="0" w:color="000000" w:themeColor="text1"/>
            </w:tcBorders>
            <w:tcMar>
              <w:top w:w="0" w:type="dxa"/>
              <w:left w:w="105" w:type="dxa"/>
              <w:bottom w:w="0" w:type="dxa"/>
              <w:right w:w="105" w:type="dxa"/>
            </w:tcMar>
            <w:hideMark/>
          </w:tcPr>
          <w:p w:rsidR="00605220" w:rsidRPr="006971CE" w:rsidRDefault="00605220">
            <w:pPr>
              <w:rPr>
                <w:rFonts w:eastAsia="Calibri"/>
              </w:rPr>
            </w:pPr>
            <w:r w:rsidRPr="006971CE">
              <w:rPr>
                <w:rFonts w:eastAsia="Calibri"/>
              </w:rPr>
              <w:t xml:space="preserve">Identified drive </w:t>
            </w:r>
          </w:p>
        </w:tc>
        <w:tc>
          <w:tcPr>
            <w:tcW w:w="1695" w:type="dxa"/>
            <w:tcBorders>
              <w:top w:val="single" w:sz="6"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rsidR="00605220" w:rsidRPr="006971CE" w:rsidRDefault="00605220">
            <w:pPr>
              <w:rPr>
                <w:rFonts w:eastAsia="Calibri"/>
              </w:rPr>
            </w:pPr>
            <w:r w:rsidRPr="006971CE">
              <w:rPr>
                <w:rFonts w:eastAsia="Calibri"/>
              </w:rPr>
              <w:t>Frequency (N=99)</w:t>
            </w:r>
          </w:p>
        </w:tc>
        <w:tc>
          <w:tcPr>
            <w:tcW w:w="2220" w:type="dxa"/>
            <w:tcBorders>
              <w:top w:val="single" w:sz="6" w:space="0" w:color="auto"/>
              <w:left w:val="single" w:sz="4" w:space="0" w:color="000000" w:themeColor="text1"/>
              <w:bottom w:val="single" w:sz="4" w:space="0" w:color="000000" w:themeColor="text1"/>
              <w:right w:val="single" w:sz="6" w:space="0" w:color="auto"/>
            </w:tcBorders>
            <w:tcMar>
              <w:top w:w="0" w:type="dxa"/>
              <w:left w:w="105" w:type="dxa"/>
              <w:bottom w:w="0" w:type="dxa"/>
              <w:right w:w="105" w:type="dxa"/>
            </w:tcMar>
            <w:hideMark/>
          </w:tcPr>
          <w:p w:rsidR="00605220" w:rsidRPr="006971CE" w:rsidRDefault="00605220">
            <w:pPr>
              <w:rPr>
                <w:rFonts w:eastAsia="Calibri"/>
              </w:rPr>
            </w:pPr>
            <w:r w:rsidRPr="006971CE">
              <w:rPr>
                <w:rFonts w:eastAsia="Calibri"/>
              </w:rPr>
              <w:t>Percentage (%)</w:t>
            </w:r>
          </w:p>
        </w:tc>
      </w:tr>
      <w:tr w:rsidR="00605220" w:rsidRPr="006971CE" w:rsidTr="00605220">
        <w:trPr>
          <w:trHeight w:val="300"/>
        </w:trPr>
        <w:tc>
          <w:tcPr>
            <w:tcW w:w="4890"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rsidR="00605220" w:rsidRPr="006971CE" w:rsidRDefault="00605220">
            <w:pPr>
              <w:rPr>
                <w:rFonts w:eastAsia="Calibri"/>
              </w:rPr>
            </w:pPr>
            <w:r w:rsidRPr="006971CE">
              <w:rPr>
                <w:rFonts w:eastAsia="Calibri"/>
              </w:rPr>
              <w:t xml:space="preserve">Government policy / conceptual planning </w:t>
            </w:r>
          </w:p>
        </w:tc>
        <w:tc>
          <w:tcPr>
            <w:tcW w:w="16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rsidR="00605220" w:rsidRPr="006971CE" w:rsidRDefault="00605220">
            <w:pPr>
              <w:rPr>
                <w:rFonts w:eastAsia="Calibri"/>
              </w:rPr>
            </w:pPr>
            <w:r w:rsidRPr="006971CE">
              <w:rPr>
                <w:rFonts w:eastAsia="Calibri"/>
              </w:rPr>
              <w:t>25</w:t>
            </w:r>
          </w:p>
        </w:tc>
        <w:tc>
          <w:tcPr>
            <w:tcW w:w="222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rsidR="00605220" w:rsidRPr="006971CE" w:rsidRDefault="00605220">
            <w:pPr>
              <w:rPr>
                <w:rFonts w:eastAsia="Calibri"/>
              </w:rPr>
            </w:pPr>
            <w:r w:rsidRPr="006971CE">
              <w:rPr>
                <w:rFonts w:eastAsia="Calibri"/>
              </w:rPr>
              <w:t>31.1%</w:t>
            </w:r>
          </w:p>
        </w:tc>
      </w:tr>
      <w:tr w:rsidR="00605220" w:rsidRPr="006971CE" w:rsidTr="00605220">
        <w:trPr>
          <w:trHeight w:val="300"/>
        </w:trPr>
        <w:tc>
          <w:tcPr>
            <w:tcW w:w="4890"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rsidR="00605220" w:rsidRPr="006971CE" w:rsidRDefault="00605220">
            <w:pPr>
              <w:rPr>
                <w:rFonts w:eastAsia="Calibri"/>
              </w:rPr>
            </w:pPr>
            <w:r w:rsidRPr="006971CE">
              <w:rPr>
                <w:rFonts w:eastAsia="Calibri"/>
              </w:rPr>
              <w:t xml:space="preserve">Real estate / private development </w:t>
            </w:r>
          </w:p>
        </w:tc>
        <w:tc>
          <w:tcPr>
            <w:tcW w:w="16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rsidR="00605220" w:rsidRPr="006971CE" w:rsidRDefault="00605220">
            <w:pPr>
              <w:rPr>
                <w:rFonts w:eastAsia="Calibri"/>
              </w:rPr>
            </w:pPr>
            <w:r w:rsidRPr="006971CE">
              <w:rPr>
                <w:rFonts w:eastAsia="Calibri"/>
              </w:rPr>
              <w:t>15</w:t>
            </w:r>
          </w:p>
        </w:tc>
        <w:tc>
          <w:tcPr>
            <w:tcW w:w="222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rsidR="00605220" w:rsidRPr="006971CE" w:rsidRDefault="00605220">
            <w:pPr>
              <w:rPr>
                <w:rFonts w:eastAsia="Calibri"/>
              </w:rPr>
            </w:pPr>
            <w:r w:rsidRPr="006971CE">
              <w:rPr>
                <w:rFonts w:eastAsia="Calibri"/>
              </w:rPr>
              <w:t>18.8%</w:t>
            </w:r>
          </w:p>
        </w:tc>
      </w:tr>
      <w:tr w:rsidR="00605220" w:rsidRPr="006971CE" w:rsidTr="00605220">
        <w:trPr>
          <w:trHeight w:val="300"/>
        </w:trPr>
        <w:tc>
          <w:tcPr>
            <w:tcW w:w="4890"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rsidR="00605220" w:rsidRPr="006971CE" w:rsidRDefault="00605220">
            <w:pPr>
              <w:rPr>
                <w:rFonts w:eastAsia="Calibri"/>
              </w:rPr>
            </w:pPr>
            <w:r w:rsidRPr="006971CE">
              <w:rPr>
                <w:rFonts w:eastAsia="Calibri"/>
              </w:rPr>
              <w:t>Infrastructures project (road, electricity...)</w:t>
            </w:r>
          </w:p>
        </w:tc>
        <w:tc>
          <w:tcPr>
            <w:tcW w:w="16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rsidR="00605220" w:rsidRPr="006971CE" w:rsidRDefault="00605220">
            <w:pPr>
              <w:rPr>
                <w:rFonts w:eastAsia="Calibri"/>
              </w:rPr>
            </w:pPr>
            <w:r w:rsidRPr="006971CE">
              <w:rPr>
                <w:rFonts w:eastAsia="Calibri"/>
              </w:rPr>
              <w:t>15</w:t>
            </w:r>
          </w:p>
        </w:tc>
        <w:tc>
          <w:tcPr>
            <w:tcW w:w="222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rsidR="00605220" w:rsidRPr="006971CE" w:rsidRDefault="00605220">
            <w:pPr>
              <w:rPr>
                <w:rFonts w:eastAsia="Calibri"/>
              </w:rPr>
            </w:pPr>
            <w:r w:rsidRPr="006971CE">
              <w:rPr>
                <w:rFonts w:eastAsia="Calibri"/>
              </w:rPr>
              <w:t>18.8%</w:t>
            </w:r>
          </w:p>
        </w:tc>
      </w:tr>
      <w:tr w:rsidR="00605220" w:rsidRPr="006971CE" w:rsidTr="00605220">
        <w:trPr>
          <w:trHeight w:val="300"/>
        </w:trPr>
        <w:tc>
          <w:tcPr>
            <w:tcW w:w="4890"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rsidR="00605220" w:rsidRPr="006971CE" w:rsidRDefault="00605220">
            <w:pPr>
              <w:rPr>
                <w:rFonts w:eastAsia="Calibri"/>
              </w:rPr>
            </w:pPr>
            <w:r w:rsidRPr="006971CE">
              <w:rPr>
                <w:rFonts w:eastAsia="Calibri"/>
              </w:rPr>
              <w:t>Internal migration (inflow)</w:t>
            </w:r>
          </w:p>
        </w:tc>
        <w:tc>
          <w:tcPr>
            <w:tcW w:w="16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rsidR="00605220" w:rsidRPr="006971CE" w:rsidRDefault="00605220">
            <w:pPr>
              <w:rPr>
                <w:rFonts w:eastAsia="Calibri"/>
              </w:rPr>
            </w:pPr>
            <w:r w:rsidRPr="006971CE">
              <w:rPr>
                <w:rFonts w:eastAsia="Calibri"/>
              </w:rPr>
              <w:t>15</w:t>
            </w:r>
          </w:p>
        </w:tc>
        <w:tc>
          <w:tcPr>
            <w:tcW w:w="222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rsidR="00605220" w:rsidRPr="006971CE" w:rsidRDefault="00605220">
            <w:pPr>
              <w:rPr>
                <w:rFonts w:eastAsia="Calibri"/>
              </w:rPr>
            </w:pPr>
            <w:r w:rsidRPr="006971CE">
              <w:rPr>
                <w:rFonts w:eastAsia="Calibri"/>
              </w:rPr>
              <w:t>18.8%</w:t>
            </w:r>
          </w:p>
        </w:tc>
      </w:tr>
      <w:tr w:rsidR="00605220" w:rsidRPr="006971CE" w:rsidTr="00605220">
        <w:trPr>
          <w:trHeight w:val="300"/>
        </w:trPr>
        <w:tc>
          <w:tcPr>
            <w:tcW w:w="4890"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rsidR="00605220" w:rsidRPr="006971CE" w:rsidRDefault="00605220">
            <w:pPr>
              <w:rPr>
                <w:rFonts w:eastAsia="Calibri"/>
              </w:rPr>
            </w:pPr>
            <w:r w:rsidRPr="006971CE">
              <w:rPr>
                <w:rFonts w:eastAsia="Calibri"/>
              </w:rPr>
              <w:t xml:space="preserve">Population growth </w:t>
            </w:r>
          </w:p>
        </w:tc>
        <w:tc>
          <w:tcPr>
            <w:tcW w:w="169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rsidR="00605220" w:rsidRPr="006971CE" w:rsidRDefault="00605220">
            <w:pPr>
              <w:rPr>
                <w:rFonts w:eastAsia="Calibri"/>
              </w:rPr>
            </w:pPr>
            <w:r w:rsidRPr="006971CE">
              <w:rPr>
                <w:rFonts w:eastAsia="Calibri"/>
              </w:rPr>
              <w:t>10</w:t>
            </w:r>
          </w:p>
        </w:tc>
        <w:tc>
          <w:tcPr>
            <w:tcW w:w="2220"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rsidR="00605220" w:rsidRPr="006971CE" w:rsidRDefault="00605220">
            <w:pPr>
              <w:rPr>
                <w:rFonts w:eastAsia="Calibri"/>
              </w:rPr>
            </w:pPr>
            <w:r w:rsidRPr="006971CE">
              <w:rPr>
                <w:rFonts w:eastAsia="Calibri"/>
              </w:rPr>
              <w:t>12.5%</w:t>
            </w:r>
          </w:p>
        </w:tc>
      </w:tr>
      <w:tr w:rsidR="00605220" w:rsidRPr="006971CE" w:rsidTr="00605220">
        <w:trPr>
          <w:trHeight w:val="300"/>
        </w:trPr>
        <w:tc>
          <w:tcPr>
            <w:tcW w:w="4890" w:type="dxa"/>
            <w:tcBorders>
              <w:top w:val="single" w:sz="4" w:space="0" w:color="000000" w:themeColor="text1"/>
              <w:left w:val="single" w:sz="6" w:space="0" w:color="auto"/>
              <w:bottom w:val="single" w:sz="6" w:space="0" w:color="auto"/>
              <w:right w:val="single" w:sz="4" w:space="0" w:color="000000" w:themeColor="text1"/>
            </w:tcBorders>
            <w:tcMar>
              <w:top w:w="0" w:type="dxa"/>
              <w:left w:w="105" w:type="dxa"/>
              <w:bottom w:w="0" w:type="dxa"/>
              <w:right w:w="105" w:type="dxa"/>
            </w:tcMar>
            <w:hideMark/>
          </w:tcPr>
          <w:p w:rsidR="00605220" w:rsidRPr="006971CE" w:rsidRDefault="00605220">
            <w:pPr>
              <w:rPr>
                <w:rFonts w:eastAsia="Calibri"/>
              </w:rPr>
            </w:pPr>
            <w:r w:rsidRPr="006971CE">
              <w:rPr>
                <w:rFonts w:eastAsia="Calibri"/>
              </w:rPr>
              <w:t>total</w:t>
            </w:r>
          </w:p>
        </w:tc>
        <w:tc>
          <w:tcPr>
            <w:tcW w:w="1695" w:type="dxa"/>
            <w:tcBorders>
              <w:top w:val="single" w:sz="4" w:space="0" w:color="000000" w:themeColor="text1"/>
              <w:left w:val="single" w:sz="4" w:space="0" w:color="000000" w:themeColor="text1"/>
              <w:bottom w:val="single" w:sz="6" w:space="0" w:color="000000" w:themeColor="text1"/>
              <w:right w:val="single" w:sz="4" w:space="0" w:color="000000" w:themeColor="text1"/>
            </w:tcBorders>
            <w:tcMar>
              <w:top w:w="0" w:type="dxa"/>
              <w:left w:w="105" w:type="dxa"/>
              <w:bottom w:w="0" w:type="dxa"/>
              <w:right w:w="105" w:type="dxa"/>
            </w:tcMar>
            <w:hideMark/>
          </w:tcPr>
          <w:p w:rsidR="00605220" w:rsidRPr="006971CE" w:rsidRDefault="00605220">
            <w:pPr>
              <w:rPr>
                <w:rFonts w:eastAsia="Calibri"/>
              </w:rPr>
            </w:pPr>
            <w:r w:rsidRPr="006971CE">
              <w:rPr>
                <w:rFonts w:eastAsia="Calibri"/>
              </w:rPr>
              <w:t>80</w:t>
            </w:r>
          </w:p>
        </w:tc>
        <w:tc>
          <w:tcPr>
            <w:tcW w:w="2220"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rsidR="00605220" w:rsidRPr="006971CE" w:rsidRDefault="00605220">
            <w:pPr>
              <w:rPr>
                <w:rFonts w:eastAsia="Calibri"/>
              </w:rPr>
            </w:pPr>
            <w:r w:rsidRPr="006971CE">
              <w:rPr>
                <w:rFonts w:eastAsia="Calibri"/>
              </w:rPr>
              <w:t>100%</w:t>
            </w:r>
          </w:p>
        </w:tc>
      </w:tr>
    </w:tbl>
    <w:p w:rsidR="00A7152E" w:rsidRPr="00A7152E" w:rsidRDefault="00A7152E" w:rsidP="00A7152E">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6971CE">
        <w:rPr>
          <w:rFonts w:ascii="Times New Roman" w:eastAsia="Times New Roman" w:hAnsi="Times New Roman" w:cs="Times New Roman"/>
          <w:b/>
          <w:bCs/>
          <w:sz w:val="24"/>
          <w:szCs w:val="24"/>
          <w:lang w:eastAsia="en-GB"/>
        </w:rPr>
        <w:t>Interpretation</w:t>
      </w:r>
    </w:p>
    <w:p w:rsidR="00A7152E" w:rsidRPr="00A7152E" w:rsidRDefault="00A7152E" w:rsidP="00A7152E">
      <w:pPr>
        <w:spacing w:before="100" w:beforeAutospacing="1" w:after="100" w:afterAutospacing="1" w:line="240" w:lineRule="auto"/>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 xml:space="preserve">The data challenge the common assumption that </w:t>
      </w:r>
      <w:r w:rsidRPr="006971CE">
        <w:rPr>
          <w:rFonts w:ascii="Times New Roman" w:eastAsia="Times New Roman" w:hAnsi="Times New Roman" w:cs="Times New Roman"/>
          <w:b/>
          <w:bCs/>
          <w:sz w:val="24"/>
          <w:szCs w:val="24"/>
          <w:lang w:eastAsia="en-GB"/>
        </w:rPr>
        <w:t>natural population growth</w:t>
      </w:r>
      <w:r w:rsidRPr="00A7152E">
        <w:rPr>
          <w:rFonts w:ascii="Times New Roman" w:eastAsia="Times New Roman" w:hAnsi="Times New Roman" w:cs="Times New Roman"/>
          <w:sz w:val="24"/>
          <w:szCs w:val="24"/>
          <w:lang w:eastAsia="en-GB"/>
        </w:rPr>
        <w:t xml:space="preserve"> is the main cause of urban expansion. Only </w:t>
      </w:r>
      <w:r w:rsidRPr="006971CE">
        <w:rPr>
          <w:rFonts w:ascii="Times New Roman" w:eastAsia="Times New Roman" w:hAnsi="Times New Roman" w:cs="Times New Roman"/>
          <w:b/>
          <w:bCs/>
          <w:sz w:val="24"/>
          <w:szCs w:val="24"/>
          <w:lang w:eastAsia="en-GB"/>
        </w:rPr>
        <w:t>14.1%</w:t>
      </w:r>
      <w:r w:rsidRPr="00A7152E">
        <w:rPr>
          <w:rFonts w:ascii="Times New Roman" w:eastAsia="Times New Roman" w:hAnsi="Times New Roman" w:cs="Times New Roman"/>
          <w:sz w:val="24"/>
          <w:szCs w:val="24"/>
          <w:lang w:eastAsia="en-GB"/>
        </w:rPr>
        <w:t xml:space="preserve"> selected this option.</w:t>
      </w:r>
    </w:p>
    <w:p w:rsidR="00A7152E" w:rsidRPr="00A7152E" w:rsidRDefault="00A7152E" w:rsidP="00A7152E">
      <w:pPr>
        <w:spacing w:before="100" w:beforeAutospacing="1" w:after="100" w:afterAutospacing="1" w:line="240" w:lineRule="auto"/>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 xml:space="preserve">Instead, the community attributes expansion to </w:t>
      </w:r>
      <w:r w:rsidRPr="006971CE">
        <w:rPr>
          <w:rFonts w:ascii="Times New Roman" w:eastAsia="Times New Roman" w:hAnsi="Times New Roman" w:cs="Times New Roman"/>
          <w:b/>
          <w:bCs/>
          <w:sz w:val="24"/>
          <w:szCs w:val="24"/>
          <w:lang w:eastAsia="en-GB"/>
        </w:rPr>
        <w:t>institutional and economic forces</w:t>
      </w:r>
      <w:r w:rsidRPr="00A7152E">
        <w:rPr>
          <w:rFonts w:ascii="Times New Roman" w:eastAsia="Times New Roman" w:hAnsi="Times New Roman" w:cs="Times New Roman"/>
          <w:sz w:val="24"/>
          <w:szCs w:val="24"/>
          <w:lang w:eastAsia="en-GB"/>
        </w:rPr>
        <w:t>:</w:t>
      </w:r>
    </w:p>
    <w:p w:rsidR="006971CE" w:rsidRDefault="00A7152E" w:rsidP="006971CE">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6971CE">
        <w:rPr>
          <w:rFonts w:ascii="Times New Roman" w:eastAsia="Times New Roman" w:hAnsi="Times New Roman" w:cs="Times New Roman"/>
          <w:b/>
          <w:bCs/>
          <w:sz w:val="24"/>
          <w:szCs w:val="24"/>
          <w:lang w:eastAsia="en-GB"/>
        </w:rPr>
        <w:t>Government policy (25.3%)</w:t>
      </w:r>
      <w:r w:rsidRPr="006971CE">
        <w:rPr>
          <w:rFonts w:ascii="Times New Roman" w:eastAsia="Times New Roman" w:hAnsi="Times New Roman" w:cs="Times New Roman"/>
          <w:sz w:val="24"/>
          <w:szCs w:val="24"/>
          <w:lang w:eastAsia="en-GB"/>
        </w:rPr>
        <w:t xml:space="preserve"> is the leading driver, showing that residents view expansion as an imposed, top-down process.</w:t>
      </w:r>
    </w:p>
    <w:p w:rsidR="006971CE" w:rsidRDefault="00A7152E" w:rsidP="006971CE">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6971CE">
        <w:rPr>
          <w:rFonts w:ascii="Times New Roman" w:eastAsia="Times New Roman" w:hAnsi="Times New Roman" w:cs="Times New Roman"/>
          <w:b/>
          <w:bCs/>
          <w:sz w:val="24"/>
          <w:szCs w:val="24"/>
          <w:lang w:eastAsia="en-GB"/>
        </w:rPr>
        <w:t>Real estate and infrastructure development (40%)</w:t>
      </w:r>
      <w:r w:rsidRPr="006971CE">
        <w:rPr>
          <w:rFonts w:ascii="Times New Roman" w:eastAsia="Times New Roman" w:hAnsi="Times New Roman" w:cs="Times New Roman"/>
          <w:sz w:val="24"/>
          <w:szCs w:val="24"/>
          <w:lang w:eastAsia="en-GB"/>
        </w:rPr>
        <w:t xml:space="preserve"> reflect market-driven and investment-led pressures.</w:t>
      </w:r>
    </w:p>
    <w:p w:rsidR="00A7152E" w:rsidRPr="006971CE" w:rsidRDefault="00A7152E" w:rsidP="006971CE">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lang w:eastAsia="en-GB"/>
        </w:rPr>
      </w:pPr>
      <w:r w:rsidRPr="006971CE">
        <w:rPr>
          <w:rFonts w:ascii="Times New Roman" w:eastAsia="Times New Roman" w:hAnsi="Times New Roman" w:cs="Times New Roman"/>
          <w:b/>
          <w:bCs/>
          <w:sz w:val="24"/>
          <w:szCs w:val="24"/>
          <w:lang w:eastAsia="en-GB"/>
        </w:rPr>
        <w:t>Internal migration (20%)</w:t>
      </w:r>
      <w:r w:rsidRPr="006971CE">
        <w:rPr>
          <w:rFonts w:ascii="Times New Roman" w:eastAsia="Times New Roman" w:hAnsi="Times New Roman" w:cs="Times New Roman"/>
          <w:sz w:val="24"/>
          <w:szCs w:val="24"/>
          <w:lang w:eastAsia="en-GB"/>
        </w:rPr>
        <w:t xml:space="preserve"> supports classical urbanization theory but remains secondary to institutional factors.</w:t>
      </w:r>
    </w:p>
    <w:p w:rsidR="00A7152E" w:rsidRPr="00A7152E" w:rsidRDefault="00A7152E" w:rsidP="00A7152E">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6971CE">
        <w:rPr>
          <w:rFonts w:ascii="Times New Roman" w:eastAsia="Times New Roman" w:hAnsi="Times New Roman" w:cs="Times New Roman"/>
          <w:b/>
          <w:bCs/>
          <w:sz w:val="24"/>
          <w:szCs w:val="24"/>
          <w:lang w:eastAsia="en-GB"/>
        </w:rPr>
        <w:t>Link to Theory</w:t>
      </w:r>
    </w:p>
    <w:p w:rsidR="00A7152E" w:rsidRPr="00A7152E" w:rsidRDefault="00A7152E" w:rsidP="00A7152E">
      <w:pPr>
        <w:spacing w:before="100" w:beforeAutospacing="1" w:after="100" w:afterAutospacing="1" w:line="240" w:lineRule="auto"/>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 xml:space="preserve">This finding strongly supports the </w:t>
      </w:r>
      <w:r w:rsidRPr="006971CE">
        <w:rPr>
          <w:rFonts w:ascii="Times New Roman" w:eastAsia="Times New Roman" w:hAnsi="Times New Roman" w:cs="Times New Roman"/>
          <w:b/>
          <w:bCs/>
          <w:sz w:val="24"/>
          <w:szCs w:val="24"/>
          <w:lang w:eastAsia="en-GB"/>
        </w:rPr>
        <w:t>political economy approach</w:t>
      </w:r>
      <w:r w:rsidRPr="00A7152E">
        <w:rPr>
          <w:rFonts w:ascii="Times New Roman" w:eastAsia="Times New Roman" w:hAnsi="Times New Roman" w:cs="Times New Roman"/>
          <w:sz w:val="24"/>
          <w:szCs w:val="24"/>
          <w:lang w:eastAsia="en-GB"/>
        </w:rPr>
        <w:t>, which argues that expansion is shaped more by state decisions, elite interests, and capital investments than by demographic inevitability. It contradicts modernization theory’s assumption that urbanization is an organic result of internal socio-economic transformation.</w:t>
      </w:r>
    </w:p>
    <w:p w:rsidR="00A7152E" w:rsidRPr="00A7152E" w:rsidRDefault="00A7152E" w:rsidP="00A7152E">
      <w:pPr>
        <w:spacing w:before="100" w:beforeAutospacing="1" w:after="100" w:afterAutospacing="1" w:line="240" w:lineRule="auto"/>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This also aligns with the literature on Ethiopian secondary cities (World Bank, 2022), where land-driven urban development is frequently policy-led, not demand-led.</w:t>
      </w:r>
    </w:p>
    <w:p w:rsidR="00A7152E" w:rsidRPr="00A7152E" w:rsidRDefault="00A7152E" w:rsidP="00A7152E">
      <w:pPr>
        <w:spacing w:after="0" w:line="240" w:lineRule="auto"/>
        <w:rPr>
          <w:rFonts w:ascii="Times New Roman" w:eastAsia="Times New Roman" w:hAnsi="Times New Roman" w:cs="Times New Roman"/>
          <w:sz w:val="24"/>
          <w:szCs w:val="24"/>
          <w:lang w:eastAsia="en-GB"/>
        </w:rPr>
      </w:pPr>
    </w:p>
    <w:p w:rsidR="00A7152E" w:rsidRPr="00A7152E" w:rsidRDefault="00A7152E" w:rsidP="00A7152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GB"/>
        </w:rPr>
      </w:pPr>
      <w:r w:rsidRPr="006971CE">
        <w:rPr>
          <w:rFonts w:ascii="Times New Roman" w:eastAsia="Times New Roman" w:hAnsi="Times New Roman" w:cs="Times New Roman"/>
          <w:b/>
          <w:bCs/>
          <w:kern w:val="36"/>
          <w:sz w:val="24"/>
          <w:szCs w:val="24"/>
          <w:lang w:eastAsia="en-GB"/>
        </w:rPr>
        <w:t xml:space="preserve">4.3 Implications for Land Ownership, Tenure, and Procedural </w:t>
      </w:r>
      <w:r w:rsidR="006971CE">
        <w:rPr>
          <w:rFonts w:ascii="Times New Roman" w:eastAsia="Times New Roman" w:hAnsi="Times New Roman" w:cs="Times New Roman"/>
          <w:b/>
          <w:bCs/>
          <w:kern w:val="36"/>
          <w:sz w:val="24"/>
          <w:szCs w:val="24"/>
          <w:lang w:eastAsia="en-GB"/>
        </w:rPr>
        <w:t xml:space="preserve">Justice </w:t>
      </w:r>
    </w:p>
    <w:p w:rsidR="00A7152E" w:rsidRPr="00A7152E" w:rsidRDefault="00A7152E" w:rsidP="00A7152E">
      <w:pPr>
        <w:spacing w:before="100" w:beforeAutospacing="1" w:after="100" w:afterAutospacing="1" w:line="240" w:lineRule="auto"/>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Urban expansion reshapes land use and land tenure, often resulting in dispossession, reduced land size, and conflict between community members and institutional authorities.</w:t>
      </w:r>
    </w:p>
    <w:p w:rsidR="00A7152E" w:rsidRPr="00A7152E" w:rsidRDefault="00A7152E" w:rsidP="00A7152E">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6971CE">
        <w:rPr>
          <w:rFonts w:ascii="Times New Roman" w:eastAsia="Times New Roman" w:hAnsi="Times New Roman" w:cs="Times New Roman"/>
          <w:b/>
          <w:bCs/>
          <w:sz w:val="24"/>
          <w:szCs w:val="24"/>
          <w:lang w:eastAsia="en-GB"/>
        </w:rPr>
        <w:t>4.3.1 Scale of Land Loss</w:t>
      </w:r>
    </w:p>
    <w:p w:rsidR="00605220" w:rsidRPr="006971CE" w:rsidRDefault="00605220" w:rsidP="00605220">
      <w:pPr>
        <w:rPr>
          <w:rFonts w:ascii="Times New Roman" w:eastAsia="Calibri" w:hAnsi="Times New Roman" w:cs="Times New Roman"/>
          <w:color w:val="000000" w:themeColor="text1"/>
          <w:sz w:val="24"/>
          <w:szCs w:val="24"/>
        </w:rPr>
      </w:pPr>
      <w:r w:rsidRPr="006971CE">
        <w:rPr>
          <w:rFonts w:ascii="Times New Roman" w:eastAsia="Calibri" w:hAnsi="Times New Roman" w:cs="Times New Roman"/>
          <w:color w:val="000000" w:themeColor="text1"/>
          <w:sz w:val="24"/>
          <w:szCs w:val="24"/>
        </w:rPr>
        <w:t xml:space="preserve"> Table </w:t>
      </w:r>
      <w:r w:rsidRPr="006971CE">
        <w:rPr>
          <w:rFonts w:ascii="Times New Roman" w:eastAsia="Calibri" w:hAnsi="Times New Roman" w:cs="Times New Roman"/>
          <w:color w:val="000000" w:themeColor="text1"/>
          <w:sz w:val="24"/>
          <w:szCs w:val="24"/>
        </w:rPr>
        <w:t>4.3 urban expansion and its implication on land ownership and livelihoods</w:t>
      </w:r>
    </w:p>
    <w:tbl>
      <w:tblPr>
        <w:tblpPr w:leftFromText="180" w:rightFromText="180" w:bottomFromText="200" w:vertAnchor="text" w:tblpX="71" w:tblpY="7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0"/>
        <w:gridCol w:w="1480"/>
        <w:gridCol w:w="1350"/>
        <w:gridCol w:w="1670"/>
      </w:tblGrid>
      <w:tr w:rsidR="00605220" w:rsidRPr="006971CE" w:rsidTr="00605220">
        <w:trPr>
          <w:trHeight w:val="450"/>
        </w:trPr>
        <w:tc>
          <w:tcPr>
            <w:tcW w:w="1230" w:type="dxa"/>
            <w:vMerge w:val="restart"/>
            <w:tcBorders>
              <w:top w:val="single" w:sz="4" w:space="0" w:color="auto"/>
              <w:left w:val="single" w:sz="4" w:space="0" w:color="auto"/>
              <w:bottom w:val="single" w:sz="4" w:space="0" w:color="auto"/>
              <w:right w:val="single" w:sz="4" w:space="0" w:color="auto"/>
            </w:tcBorders>
          </w:tcPr>
          <w:p w:rsidR="00605220" w:rsidRPr="006971CE" w:rsidRDefault="00605220">
            <w:pPr>
              <w:rPr>
                <w:rFonts w:ascii="Times New Roman" w:hAnsi="Times New Roman" w:cs="Times New Roman"/>
                <w:sz w:val="24"/>
                <w:szCs w:val="24"/>
              </w:rPr>
            </w:pPr>
          </w:p>
          <w:p w:rsidR="00605220" w:rsidRPr="006971CE" w:rsidRDefault="00605220">
            <w:pPr>
              <w:rPr>
                <w:rFonts w:ascii="Times New Roman" w:hAnsi="Times New Roman" w:cs="Times New Roman"/>
                <w:sz w:val="24"/>
                <w:szCs w:val="24"/>
              </w:rPr>
            </w:pPr>
          </w:p>
          <w:p w:rsidR="00605220" w:rsidRPr="006971CE" w:rsidRDefault="00605220">
            <w:pPr>
              <w:rPr>
                <w:rFonts w:ascii="Times New Roman" w:hAnsi="Times New Roman" w:cs="Times New Roman"/>
                <w:sz w:val="24"/>
                <w:szCs w:val="24"/>
                <w:lang w:val="en-US"/>
              </w:rPr>
            </w:pPr>
            <w:r w:rsidRPr="006971CE">
              <w:rPr>
                <w:rFonts w:ascii="Times New Roman" w:hAnsi="Times New Roman" w:cs="Times New Roman"/>
                <w:sz w:val="24"/>
                <w:szCs w:val="24"/>
              </w:rPr>
              <w:t>Land implication by urban sprawl</w:t>
            </w:r>
          </w:p>
        </w:tc>
        <w:tc>
          <w:tcPr>
            <w:tcW w:w="1480" w:type="dxa"/>
            <w:tcBorders>
              <w:top w:val="single" w:sz="4" w:space="0" w:color="auto"/>
              <w:left w:val="single" w:sz="4" w:space="0" w:color="auto"/>
              <w:bottom w:val="single" w:sz="4" w:space="0" w:color="auto"/>
              <w:right w:val="single" w:sz="4" w:space="0" w:color="auto"/>
            </w:tcBorders>
            <w:hideMark/>
          </w:tcPr>
          <w:p w:rsidR="00605220" w:rsidRPr="006971CE" w:rsidRDefault="00605220">
            <w:pPr>
              <w:rPr>
                <w:rFonts w:ascii="Times New Roman" w:hAnsi="Times New Roman" w:cs="Times New Roman"/>
                <w:sz w:val="20"/>
                <w:szCs w:val="20"/>
                <w:lang w:val="en-US"/>
              </w:rPr>
            </w:pPr>
            <w:r w:rsidRPr="006971CE">
              <w:rPr>
                <w:rFonts w:ascii="Times New Roman" w:hAnsi="Times New Roman" w:cs="Times New Roman"/>
                <w:sz w:val="20"/>
                <w:szCs w:val="20"/>
              </w:rPr>
              <w:t>Completely lost land</w:t>
            </w:r>
          </w:p>
        </w:tc>
        <w:tc>
          <w:tcPr>
            <w:tcW w:w="1350" w:type="dxa"/>
            <w:tcBorders>
              <w:top w:val="single" w:sz="4" w:space="0" w:color="auto"/>
              <w:left w:val="single" w:sz="4" w:space="0" w:color="auto"/>
              <w:bottom w:val="single" w:sz="4" w:space="0" w:color="auto"/>
              <w:right w:val="single" w:sz="4" w:space="0" w:color="auto"/>
            </w:tcBorders>
            <w:hideMark/>
          </w:tcPr>
          <w:p w:rsidR="00605220" w:rsidRPr="006971CE" w:rsidRDefault="00605220">
            <w:pPr>
              <w:rPr>
                <w:rFonts w:ascii="Times New Roman" w:hAnsi="Times New Roman" w:cs="Times New Roman"/>
                <w:sz w:val="24"/>
                <w:szCs w:val="24"/>
                <w:lang w:val="en-US"/>
              </w:rPr>
            </w:pPr>
            <w:r w:rsidRPr="006971CE">
              <w:rPr>
                <w:rFonts w:ascii="Times New Roman" w:hAnsi="Times New Roman" w:cs="Times New Roman"/>
                <w:sz w:val="24"/>
                <w:szCs w:val="24"/>
              </w:rPr>
              <w:t>25</w:t>
            </w:r>
          </w:p>
        </w:tc>
        <w:tc>
          <w:tcPr>
            <w:tcW w:w="1670" w:type="dxa"/>
            <w:tcBorders>
              <w:top w:val="single" w:sz="4" w:space="0" w:color="auto"/>
              <w:left w:val="single" w:sz="4" w:space="0" w:color="auto"/>
              <w:bottom w:val="single" w:sz="4" w:space="0" w:color="auto"/>
              <w:right w:val="single" w:sz="4" w:space="0" w:color="auto"/>
            </w:tcBorders>
            <w:hideMark/>
          </w:tcPr>
          <w:p w:rsidR="00605220" w:rsidRPr="006971CE" w:rsidRDefault="00605220">
            <w:pPr>
              <w:rPr>
                <w:rFonts w:ascii="Times New Roman" w:hAnsi="Times New Roman" w:cs="Times New Roman"/>
                <w:sz w:val="24"/>
                <w:szCs w:val="24"/>
                <w:lang w:val="en-US"/>
              </w:rPr>
            </w:pPr>
            <w:r w:rsidRPr="006971CE">
              <w:rPr>
                <w:rFonts w:ascii="Times New Roman" w:hAnsi="Times New Roman" w:cs="Times New Roman"/>
                <w:sz w:val="24"/>
                <w:szCs w:val="24"/>
              </w:rPr>
              <w:t>25.2%</w:t>
            </w:r>
          </w:p>
        </w:tc>
      </w:tr>
      <w:tr w:rsidR="00605220" w:rsidRPr="006971CE" w:rsidTr="00605220">
        <w:trPr>
          <w:trHeight w:val="410"/>
        </w:trPr>
        <w:tc>
          <w:tcPr>
            <w:tcW w:w="0" w:type="auto"/>
            <w:vMerge/>
            <w:tcBorders>
              <w:top w:val="single" w:sz="4" w:space="0" w:color="auto"/>
              <w:left w:val="single" w:sz="4" w:space="0" w:color="auto"/>
              <w:bottom w:val="single" w:sz="4" w:space="0" w:color="auto"/>
              <w:right w:val="single" w:sz="4" w:space="0" w:color="auto"/>
            </w:tcBorders>
            <w:vAlign w:val="center"/>
            <w:hideMark/>
          </w:tcPr>
          <w:p w:rsidR="00605220" w:rsidRPr="006971CE" w:rsidRDefault="00605220">
            <w:pPr>
              <w:spacing w:after="0" w:line="240" w:lineRule="auto"/>
              <w:rPr>
                <w:rFonts w:ascii="Times New Roman" w:hAnsi="Times New Roman" w:cs="Times New Roman"/>
                <w:sz w:val="24"/>
                <w:szCs w:val="24"/>
                <w:lang w:val="en-US"/>
              </w:rPr>
            </w:pPr>
          </w:p>
        </w:tc>
        <w:tc>
          <w:tcPr>
            <w:tcW w:w="1480" w:type="dxa"/>
            <w:tcBorders>
              <w:top w:val="single" w:sz="4" w:space="0" w:color="auto"/>
              <w:left w:val="single" w:sz="4" w:space="0" w:color="auto"/>
              <w:bottom w:val="single" w:sz="4" w:space="0" w:color="auto"/>
              <w:right w:val="single" w:sz="4" w:space="0" w:color="auto"/>
            </w:tcBorders>
            <w:hideMark/>
          </w:tcPr>
          <w:p w:rsidR="00605220" w:rsidRPr="006971CE" w:rsidRDefault="00605220">
            <w:pPr>
              <w:rPr>
                <w:rFonts w:ascii="Times New Roman" w:hAnsi="Times New Roman" w:cs="Times New Roman"/>
                <w:sz w:val="24"/>
                <w:szCs w:val="24"/>
                <w:lang w:val="en-US"/>
              </w:rPr>
            </w:pPr>
            <w:r w:rsidRPr="006971CE">
              <w:rPr>
                <w:rFonts w:ascii="Times New Roman" w:hAnsi="Times New Roman" w:cs="Times New Roman"/>
                <w:sz w:val="24"/>
                <w:szCs w:val="24"/>
              </w:rPr>
              <w:t>Reduces in size</w:t>
            </w:r>
          </w:p>
        </w:tc>
        <w:tc>
          <w:tcPr>
            <w:tcW w:w="1350" w:type="dxa"/>
            <w:tcBorders>
              <w:top w:val="single" w:sz="4" w:space="0" w:color="auto"/>
              <w:left w:val="single" w:sz="4" w:space="0" w:color="auto"/>
              <w:bottom w:val="single" w:sz="4" w:space="0" w:color="auto"/>
              <w:right w:val="single" w:sz="4" w:space="0" w:color="auto"/>
            </w:tcBorders>
            <w:hideMark/>
          </w:tcPr>
          <w:p w:rsidR="00605220" w:rsidRPr="006971CE" w:rsidRDefault="00605220">
            <w:pPr>
              <w:rPr>
                <w:rFonts w:ascii="Times New Roman" w:hAnsi="Times New Roman" w:cs="Times New Roman"/>
                <w:sz w:val="24"/>
                <w:szCs w:val="24"/>
                <w:lang w:val="en-US"/>
              </w:rPr>
            </w:pPr>
            <w:r w:rsidRPr="006971CE">
              <w:rPr>
                <w:rFonts w:ascii="Times New Roman" w:hAnsi="Times New Roman" w:cs="Times New Roman"/>
                <w:sz w:val="24"/>
                <w:szCs w:val="24"/>
              </w:rPr>
              <w:t>15</w:t>
            </w:r>
          </w:p>
        </w:tc>
        <w:tc>
          <w:tcPr>
            <w:tcW w:w="1670" w:type="dxa"/>
            <w:tcBorders>
              <w:top w:val="single" w:sz="4" w:space="0" w:color="auto"/>
              <w:left w:val="single" w:sz="4" w:space="0" w:color="auto"/>
              <w:bottom w:val="single" w:sz="4" w:space="0" w:color="auto"/>
              <w:right w:val="single" w:sz="4" w:space="0" w:color="auto"/>
            </w:tcBorders>
            <w:hideMark/>
          </w:tcPr>
          <w:p w:rsidR="00605220" w:rsidRPr="006971CE" w:rsidRDefault="00605220">
            <w:pPr>
              <w:rPr>
                <w:rFonts w:ascii="Times New Roman" w:hAnsi="Times New Roman" w:cs="Times New Roman"/>
                <w:sz w:val="24"/>
                <w:szCs w:val="24"/>
                <w:lang w:val="en-US"/>
              </w:rPr>
            </w:pPr>
            <w:r w:rsidRPr="006971CE">
              <w:rPr>
                <w:rFonts w:ascii="Times New Roman" w:hAnsi="Times New Roman" w:cs="Times New Roman"/>
                <w:sz w:val="24"/>
                <w:szCs w:val="24"/>
              </w:rPr>
              <w:t>15.1%</w:t>
            </w:r>
          </w:p>
        </w:tc>
      </w:tr>
      <w:tr w:rsidR="00605220" w:rsidRPr="006971CE" w:rsidTr="00605220">
        <w:trPr>
          <w:trHeight w:val="340"/>
        </w:trPr>
        <w:tc>
          <w:tcPr>
            <w:tcW w:w="0" w:type="auto"/>
            <w:vMerge/>
            <w:tcBorders>
              <w:top w:val="single" w:sz="4" w:space="0" w:color="auto"/>
              <w:left w:val="single" w:sz="4" w:space="0" w:color="auto"/>
              <w:bottom w:val="single" w:sz="4" w:space="0" w:color="auto"/>
              <w:right w:val="single" w:sz="4" w:space="0" w:color="auto"/>
            </w:tcBorders>
            <w:vAlign w:val="center"/>
            <w:hideMark/>
          </w:tcPr>
          <w:p w:rsidR="00605220" w:rsidRPr="006971CE" w:rsidRDefault="00605220">
            <w:pPr>
              <w:spacing w:after="0" w:line="240" w:lineRule="auto"/>
              <w:rPr>
                <w:rFonts w:ascii="Times New Roman" w:hAnsi="Times New Roman" w:cs="Times New Roman"/>
                <w:sz w:val="24"/>
                <w:szCs w:val="24"/>
                <w:lang w:val="en-US"/>
              </w:rPr>
            </w:pPr>
          </w:p>
        </w:tc>
        <w:tc>
          <w:tcPr>
            <w:tcW w:w="1480" w:type="dxa"/>
            <w:tcBorders>
              <w:top w:val="single" w:sz="4" w:space="0" w:color="auto"/>
              <w:left w:val="single" w:sz="4" w:space="0" w:color="auto"/>
              <w:bottom w:val="single" w:sz="4" w:space="0" w:color="auto"/>
              <w:right w:val="single" w:sz="4" w:space="0" w:color="auto"/>
            </w:tcBorders>
            <w:hideMark/>
          </w:tcPr>
          <w:p w:rsidR="00605220" w:rsidRPr="006971CE" w:rsidRDefault="00605220">
            <w:pPr>
              <w:rPr>
                <w:rFonts w:ascii="Times New Roman" w:hAnsi="Times New Roman" w:cs="Times New Roman"/>
                <w:sz w:val="24"/>
                <w:szCs w:val="24"/>
                <w:lang w:val="en-US"/>
              </w:rPr>
            </w:pPr>
            <w:r w:rsidRPr="006971CE">
              <w:rPr>
                <w:rFonts w:ascii="Times New Roman" w:hAnsi="Times New Roman" w:cs="Times New Roman"/>
                <w:sz w:val="24"/>
                <w:szCs w:val="24"/>
              </w:rPr>
              <w:t>Not impacted</w:t>
            </w:r>
          </w:p>
        </w:tc>
        <w:tc>
          <w:tcPr>
            <w:tcW w:w="1350" w:type="dxa"/>
            <w:tcBorders>
              <w:top w:val="single" w:sz="4" w:space="0" w:color="auto"/>
              <w:left w:val="single" w:sz="4" w:space="0" w:color="auto"/>
              <w:bottom w:val="single" w:sz="4" w:space="0" w:color="auto"/>
              <w:right w:val="single" w:sz="4" w:space="0" w:color="auto"/>
            </w:tcBorders>
            <w:hideMark/>
          </w:tcPr>
          <w:p w:rsidR="00605220" w:rsidRPr="006971CE" w:rsidRDefault="00605220">
            <w:pPr>
              <w:rPr>
                <w:rFonts w:ascii="Times New Roman" w:hAnsi="Times New Roman" w:cs="Times New Roman"/>
                <w:sz w:val="24"/>
                <w:szCs w:val="24"/>
                <w:lang w:val="en-US"/>
              </w:rPr>
            </w:pPr>
            <w:r w:rsidRPr="006971CE">
              <w:rPr>
                <w:rFonts w:ascii="Times New Roman" w:hAnsi="Times New Roman" w:cs="Times New Roman"/>
                <w:sz w:val="24"/>
                <w:szCs w:val="24"/>
              </w:rPr>
              <w:t>25</w:t>
            </w:r>
          </w:p>
        </w:tc>
        <w:tc>
          <w:tcPr>
            <w:tcW w:w="1670" w:type="dxa"/>
            <w:tcBorders>
              <w:top w:val="single" w:sz="4" w:space="0" w:color="auto"/>
              <w:left w:val="single" w:sz="4" w:space="0" w:color="auto"/>
              <w:bottom w:val="single" w:sz="4" w:space="0" w:color="auto"/>
              <w:right w:val="single" w:sz="4" w:space="0" w:color="auto"/>
            </w:tcBorders>
            <w:hideMark/>
          </w:tcPr>
          <w:p w:rsidR="00605220" w:rsidRPr="006971CE" w:rsidRDefault="00605220">
            <w:pPr>
              <w:rPr>
                <w:rFonts w:ascii="Times New Roman" w:hAnsi="Times New Roman" w:cs="Times New Roman"/>
                <w:sz w:val="24"/>
                <w:szCs w:val="24"/>
                <w:lang w:val="en-US"/>
              </w:rPr>
            </w:pPr>
            <w:r w:rsidRPr="006971CE">
              <w:rPr>
                <w:rFonts w:ascii="Times New Roman" w:hAnsi="Times New Roman" w:cs="Times New Roman"/>
                <w:sz w:val="24"/>
                <w:szCs w:val="24"/>
              </w:rPr>
              <w:t>25.2%</w:t>
            </w:r>
          </w:p>
        </w:tc>
      </w:tr>
      <w:tr w:rsidR="00605220" w:rsidRPr="006971CE" w:rsidTr="00605220">
        <w:trPr>
          <w:trHeight w:val="350"/>
        </w:trPr>
        <w:tc>
          <w:tcPr>
            <w:tcW w:w="0" w:type="auto"/>
            <w:vMerge/>
            <w:tcBorders>
              <w:top w:val="single" w:sz="4" w:space="0" w:color="auto"/>
              <w:left w:val="single" w:sz="4" w:space="0" w:color="auto"/>
              <w:bottom w:val="single" w:sz="4" w:space="0" w:color="auto"/>
              <w:right w:val="single" w:sz="4" w:space="0" w:color="auto"/>
            </w:tcBorders>
            <w:vAlign w:val="center"/>
            <w:hideMark/>
          </w:tcPr>
          <w:p w:rsidR="00605220" w:rsidRPr="006971CE" w:rsidRDefault="00605220">
            <w:pPr>
              <w:spacing w:after="0" w:line="240" w:lineRule="auto"/>
              <w:rPr>
                <w:rFonts w:ascii="Times New Roman" w:hAnsi="Times New Roman" w:cs="Times New Roman"/>
                <w:sz w:val="24"/>
                <w:szCs w:val="24"/>
                <w:lang w:val="en-US"/>
              </w:rPr>
            </w:pPr>
          </w:p>
        </w:tc>
        <w:tc>
          <w:tcPr>
            <w:tcW w:w="1480" w:type="dxa"/>
            <w:tcBorders>
              <w:top w:val="single" w:sz="4" w:space="0" w:color="auto"/>
              <w:left w:val="single" w:sz="4" w:space="0" w:color="auto"/>
              <w:bottom w:val="single" w:sz="4" w:space="0" w:color="auto"/>
              <w:right w:val="single" w:sz="4" w:space="0" w:color="auto"/>
            </w:tcBorders>
            <w:hideMark/>
          </w:tcPr>
          <w:p w:rsidR="00605220" w:rsidRPr="006971CE" w:rsidRDefault="00605220">
            <w:pPr>
              <w:rPr>
                <w:rFonts w:ascii="Times New Roman" w:hAnsi="Times New Roman" w:cs="Times New Roman"/>
                <w:sz w:val="24"/>
                <w:szCs w:val="24"/>
                <w:lang w:val="en-US"/>
              </w:rPr>
            </w:pPr>
            <w:r w:rsidRPr="006971CE">
              <w:rPr>
                <w:rFonts w:ascii="Times New Roman" w:hAnsi="Times New Roman" w:cs="Times New Roman"/>
                <w:sz w:val="24"/>
                <w:szCs w:val="24"/>
              </w:rPr>
              <w:t>I don’t have land</w:t>
            </w:r>
          </w:p>
        </w:tc>
        <w:tc>
          <w:tcPr>
            <w:tcW w:w="1350" w:type="dxa"/>
            <w:tcBorders>
              <w:top w:val="single" w:sz="4" w:space="0" w:color="auto"/>
              <w:left w:val="single" w:sz="4" w:space="0" w:color="auto"/>
              <w:bottom w:val="single" w:sz="4" w:space="0" w:color="auto"/>
              <w:right w:val="single" w:sz="4" w:space="0" w:color="auto"/>
            </w:tcBorders>
            <w:hideMark/>
          </w:tcPr>
          <w:p w:rsidR="00605220" w:rsidRPr="006971CE" w:rsidRDefault="00605220">
            <w:pPr>
              <w:rPr>
                <w:rFonts w:ascii="Times New Roman" w:hAnsi="Times New Roman" w:cs="Times New Roman"/>
                <w:sz w:val="24"/>
                <w:szCs w:val="24"/>
                <w:lang w:val="en-US"/>
              </w:rPr>
            </w:pPr>
            <w:r w:rsidRPr="006971CE">
              <w:rPr>
                <w:rFonts w:ascii="Times New Roman" w:hAnsi="Times New Roman" w:cs="Times New Roman"/>
                <w:sz w:val="24"/>
                <w:szCs w:val="24"/>
              </w:rPr>
              <w:t>34</w:t>
            </w:r>
          </w:p>
        </w:tc>
        <w:tc>
          <w:tcPr>
            <w:tcW w:w="1670" w:type="dxa"/>
            <w:tcBorders>
              <w:top w:val="single" w:sz="4" w:space="0" w:color="auto"/>
              <w:left w:val="single" w:sz="4" w:space="0" w:color="auto"/>
              <w:bottom w:val="single" w:sz="4" w:space="0" w:color="auto"/>
              <w:right w:val="single" w:sz="4" w:space="0" w:color="auto"/>
            </w:tcBorders>
            <w:hideMark/>
          </w:tcPr>
          <w:p w:rsidR="00605220" w:rsidRPr="006971CE" w:rsidRDefault="00605220">
            <w:pPr>
              <w:rPr>
                <w:rFonts w:ascii="Times New Roman" w:hAnsi="Times New Roman" w:cs="Times New Roman"/>
                <w:sz w:val="24"/>
                <w:szCs w:val="24"/>
                <w:lang w:val="en-US"/>
              </w:rPr>
            </w:pPr>
            <w:r w:rsidRPr="006971CE">
              <w:rPr>
                <w:rFonts w:ascii="Times New Roman" w:hAnsi="Times New Roman" w:cs="Times New Roman"/>
                <w:sz w:val="24"/>
                <w:szCs w:val="24"/>
              </w:rPr>
              <w:t>34.3%</w:t>
            </w:r>
          </w:p>
        </w:tc>
      </w:tr>
      <w:tr w:rsidR="00605220" w:rsidRPr="006971CE" w:rsidTr="00605220">
        <w:trPr>
          <w:trHeight w:val="380"/>
        </w:trPr>
        <w:tc>
          <w:tcPr>
            <w:tcW w:w="0" w:type="auto"/>
            <w:vMerge/>
            <w:tcBorders>
              <w:top w:val="single" w:sz="4" w:space="0" w:color="auto"/>
              <w:left w:val="single" w:sz="4" w:space="0" w:color="auto"/>
              <w:bottom w:val="single" w:sz="4" w:space="0" w:color="auto"/>
              <w:right w:val="single" w:sz="4" w:space="0" w:color="auto"/>
            </w:tcBorders>
            <w:vAlign w:val="center"/>
            <w:hideMark/>
          </w:tcPr>
          <w:p w:rsidR="00605220" w:rsidRPr="006971CE" w:rsidRDefault="00605220">
            <w:pPr>
              <w:spacing w:after="0" w:line="240" w:lineRule="auto"/>
              <w:rPr>
                <w:rFonts w:ascii="Times New Roman" w:hAnsi="Times New Roman" w:cs="Times New Roman"/>
                <w:sz w:val="24"/>
                <w:szCs w:val="24"/>
                <w:lang w:val="en-US"/>
              </w:rPr>
            </w:pPr>
          </w:p>
        </w:tc>
        <w:tc>
          <w:tcPr>
            <w:tcW w:w="1480" w:type="dxa"/>
            <w:tcBorders>
              <w:top w:val="single" w:sz="4" w:space="0" w:color="auto"/>
              <w:left w:val="single" w:sz="4" w:space="0" w:color="auto"/>
              <w:bottom w:val="single" w:sz="4" w:space="0" w:color="auto"/>
              <w:right w:val="single" w:sz="4" w:space="0" w:color="auto"/>
            </w:tcBorders>
            <w:hideMark/>
          </w:tcPr>
          <w:p w:rsidR="00605220" w:rsidRPr="006971CE" w:rsidRDefault="00605220">
            <w:pPr>
              <w:rPr>
                <w:rFonts w:ascii="Times New Roman" w:hAnsi="Times New Roman" w:cs="Times New Roman"/>
                <w:sz w:val="24"/>
                <w:szCs w:val="24"/>
                <w:lang w:val="en-US"/>
              </w:rPr>
            </w:pPr>
            <w:r w:rsidRPr="006971CE">
              <w:rPr>
                <w:rFonts w:ascii="Times New Roman" w:hAnsi="Times New Roman" w:cs="Times New Roman"/>
                <w:sz w:val="24"/>
                <w:szCs w:val="24"/>
              </w:rPr>
              <w:t>total</w:t>
            </w:r>
          </w:p>
        </w:tc>
        <w:tc>
          <w:tcPr>
            <w:tcW w:w="1350" w:type="dxa"/>
            <w:tcBorders>
              <w:top w:val="single" w:sz="4" w:space="0" w:color="auto"/>
              <w:left w:val="single" w:sz="4" w:space="0" w:color="auto"/>
              <w:bottom w:val="single" w:sz="4" w:space="0" w:color="auto"/>
              <w:right w:val="single" w:sz="4" w:space="0" w:color="auto"/>
            </w:tcBorders>
            <w:hideMark/>
          </w:tcPr>
          <w:p w:rsidR="00605220" w:rsidRPr="006971CE" w:rsidRDefault="00605220">
            <w:pPr>
              <w:rPr>
                <w:rFonts w:ascii="Times New Roman" w:hAnsi="Times New Roman" w:cs="Times New Roman"/>
                <w:sz w:val="24"/>
                <w:szCs w:val="24"/>
                <w:lang w:val="en-US"/>
              </w:rPr>
            </w:pPr>
            <w:r w:rsidRPr="006971CE">
              <w:rPr>
                <w:rFonts w:ascii="Times New Roman" w:hAnsi="Times New Roman" w:cs="Times New Roman"/>
                <w:sz w:val="24"/>
                <w:szCs w:val="24"/>
              </w:rPr>
              <w:t>99</w:t>
            </w:r>
          </w:p>
        </w:tc>
        <w:tc>
          <w:tcPr>
            <w:tcW w:w="1670" w:type="dxa"/>
            <w:tcBorders>
              <w:top w:val="single" w:sz="4" w:space="0" w:color="auto"/>
              <w:left w:val="single" w:sz="4" w:space="0" w:color="auto"/>
              <w:bottom w:val="single" w:sz="4" w:space="0" w:color="auto"/>
              <w:right w:val="single" w:sz="4" w:space="0" w:color="auto"/>
            </w:tcBorders>
            <w:hideMark/>
          </w:tcPr>
          <w:p w:rsidR="00605220" w:rsidRPr="006971CE" w:rsidRDefault="00605220">
            <w:pPr>
              <w:rPr>
                <w:rFonts w:ascii="Times New Roman" w:hAnsi="Times New Roman" w:cs="Times New Roman"/>
                <w:sz w:val="24"/>
                <w:szCs w:val="24"/>
                <w:lang w:val="en-US"/>
              </w:rPr>
            </w:pPr>
            <w:r w:rsidRPr="006971CE">
              <w:rPr>
                <w:rFonts w:ascii="Times New Roman" w:hAnsi="Times New Roman" w:cs="Times New Roman"/>
                <w:sz w:val="24"/>
                <w:szCs w:val="24"/>
              </w:rPr>
              <w:t>100%</w:t>
            </w:r>
          </w:p>
        </w:tc>
      </w:tr>
    </w:tbl>
    <w:p w:rsidR="00605220" w:rsidRPr="006971CE" w:rsidRDefault="00605220" w:rsidP="00605220">
      <w:pPr>
        <w:rPr>
          <w:rFonts w:ascii="Times New Roman" w:hAnsi="Times New Roman" w:cs="Times New Roman"/>
          <w:sz w:val="24"/>
          <w:szCs w:val="24"/>
          <w:lang w:val="en-US"/>
        </w:rPr>
      </w:pPr>
    </w:p>
    <w:p w:rsidR="00605220" w:rsidRPr="006971CE" w:rsidRDefault="00605220" w:rsidP="00605220">
      <w:pPr>
        <w:spacing w:before="240" w:after="240"/>
        <w:rPr>
          <w:rFonts w:ascii="Times New Roman" w:eastAsia="Calibri" w:hAnsi="Times New Roman" w:cs="Times New Roman"/>
          <w:color w:val="000000" w:themeColor="text1"/>
        </w:rPr>
      </w:pPr>
    </w:p>
    <w:p w:rsidR="00605220" w:rsidRPr="006971CE" w:rsidRDefault="00605220" w:rsidP="00605220">
      <w:pPr>
        <w:spacing w:before="240" w:after="240"/>
        <w:rPr>
          <w:rFonts w:ascii="Times New Roman" w:eastAsia="Calibri" w:hAnsi="Times New Roman" w:cs="Times New Roman"/>
          <w:color w:val="000000" w:themeColor="text1"/>
        </w:rPr>
      </w:pPr>
      <w:r w:rsidRPr="006971CE">
        <w:rPr>
          <w:rFonts w:ascii="Times New Roman" w:eastAsia="Calibri" w:hAnsi="Times New Roman" w:cs="Times New Roman"/>
          <w:color w:val="000000" w:themeColor="text1"/>
        </w:rPr>
        <w:t xml:space="preserve"> </w:t>
      </w:r>
    </w:p>
    <w:p w:rsidR="00605220" w:rsidRPr="006971CE" w:rsidRDefault="00605220" w:rsidP="00605220">
      <w:pPr>
        <w:spacing w:before="240" w:after="240"/>
        <w:rPr>
          <w:rFonts w:ascii="Times New Roman" w:eastAsia="Calibri" w:hAnsi="Times New Roman" w:cs="Times New Roman"/>
          <w:color w:val="000000" w:themeColor="text1"/>
        </w:rPr>
      </w:pPr>
    </w:p>
    <w:p w:rsidR="00605220" w:rsidRPr="006971CE" w:rsidRDefault="00605220" w:rsidP="00605220">
      <w:pPr>
        <w:spacing w:before="240" w:after="240"/>
        <w:rPr>
          <w:rFonts w:ascii="Times New Roman" w:eastAsia="Calibri" w:hAnsi="Times New Roman" w:cs="Times New Roman"/>
          <w:color w:val="000000" w:themeColor="text1"/>
        </w:rPr>
      </w:pPr>
    </w:p>
    <w:p w:rsidR="00605220" w:rsidRPr="006971CE" w:rsidRDefault="00605220" w:rsidP="00605220">
      <w:pPr>
        <w:spacing w:before="240" w:after="240"/>
        <w:rPr>
          <w:rFonts w:ascii="Times New Roman" w:eastAsia="Calibri" w:hAnsi="Times New Roman" w:cs="Times New Roman"/>
          <w:color w:val="000000" w:themeColor="text1"/>
        </w:rPr>
      </w:pPr>
    </w:p>
    <w:p w:rsidR="00605220" w:rsidRPr="006971CE" w:rsidRDefault="00605220" w:rsidP="00605220">
      <w:pPr>
        <w:spacing w:before="240" w:after="240"/>
        <w:rPr>
          <w:rFonts w:ascii="Times New Roman" w:eastAsia="Calibri" w:hAnsi="Times New Roman" w:cs="Times New Roman"/>
          <w:color w:val="000000" w:themeColor="text1"/>
        </w:rPr>
      </w:pPr>
    </w:p>
    <w:p w:rsidR="00605220" w:rsidRPr="006971CE" w:rsidRDefault="00605220" w:rsidP="00605220">
      <w:pPr>
        <w:spacing w:before="240" w:after="240"/>
        <w:rPr>
          <w:rFonts w:ascii="Times New Roman" w:eastAsia="Calibri" w:hAnsi="Times New Roman" w:cs="Times New Roman"/>
          <w:color w:val="000000" w:themeColor="text1"/>
        </w:rPr>
      </w:pPr>
    </w:p>
    <w:p w:rsidR="00A7152E" w:rsidRPr="00A7152E" w:rsidRDefault="00A7152E" w:rsidP="00A7152E">
      <w:pPr>
        <w:spacing w:before="100" w:beforeAutospacing="1" w:after="100" w:afterAutospacing="1" w:line="240" w:lineRule="auto"/>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 xml:space="preserve">Out of those with land, </w:t>
      </w:r>
      <w:r w:rsidRPr="006971CE">
        <w:rPr>
          <w:rFonts w:ascii="Times New Roman" w:eastAsia="Times New Roman" w:hAnsi="Times New Roman" w:cs="Times New Roman"/>
          <w:b/>
          <w:bCs/>
          <w:sz w:val="24"/>
          <w:szCs w:val="24"/>
          <w:lang w:eastAsia="en-GB"/>
        </w:rPr>
        <w:t>40.5%</w:t>
      </w:r>
      <w:r w:rsidRPr="00A7152E">
        <w:rPr>
          <w:rFonts w:ascii="Times New Roman" w:eastAsia="Times New Roman" w:hAnsi="Times New Roman" w:cs="Times New Roman"/>
          <w:sz w:val="24"/>
          <w:szCs w:val="24"/>
          <w:lang w:eastAsia="en-GB"/>
        </w:rPr>
        <w:t xml:space="preserve"> experienced either complete loss or reduction. This demonstrates significant pressure on </w:t>
      </w:r>
      <w:proofErr w:type="spellStart"/>
      <w:r w:rsidRPr="00A7152E">
        <w:rPr>
          <w:rFonts w:ascii="Times New Roman" w:eastAsia="Times New Roman" w:hAnsi="Times New Roman" w:cs="Times New Roman"/>
          <w:sz w:val="24"/>
          <w:szCs w:val="24"/>
          <w:lang w:eastAsia="en-GB"/>
        </w:rPr>
        <w:t>peri</w:t>
      </w:r>
      <w:proofErr w:type="spellEnd"/>
      <w:r w:rsidRPr="00A7152E">
        <w:rPr>
          <w:rFonts w:ascii="Times New Roman" w:eastAsia="Times New Roman" w:hAnsi="Times New Roman" w:cs="Times New Roman"/>
          <w:sz w:val="24"/>
          <w:szCs w:val="24"/>
          <w:lang w:eastAsia="en-GB"/>
        </w:rPr>
        <w:t>-urban farming systems, consistent with studies on Ethiopian urban fringes (CSA, 2023; Wang &amp; Lu, 2021).</w:t>
      </w:r>
    </w:p>
    <w:p w:rsidR="00A7152E" w:rsidRPr="00A7152E" w:rsidRDefault="00A7152E" w:rsidP="00A7152E">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6971CE">
        <w:rPr>
          <w:rFonts w:ascii="Times New Roman" w:eastAsia="Times New Roman" w:hAnsi="Times New Roman" w:cs="Times New Roman"/>
          <w:b/>
          <w:bCs/>
          <w:sz w:val="24"/>
          <w:szCs w:val="24"/>
          <w:lang w:eastAsia="en-GB"/>
        </w:rPr>
        <w:t>4.3.2 Procedural Justice: Consultation and Compensation</w:t>
      </w:r>
    </w:p>
    <w:p w:rsidR="00605220" w:rsidRPr="006971CE" w:rsidRDefault="00605220" w:rsidP="00605220">
      <w:pPr>
        <w:spacing w:before="240" w:after="240"/>
        <w:rPr>
          <w:rFonts w:ascii="Times New Roman" w:eastAsia="Calibri" w:hAnsi="Times New Roman" w:cs="Times New Roman"/>
          <w:color w:val="000000" w:themeColor="text1"/>
        </w:rPr>
      </w:pPr>
      <w:proofErr w:type="spellStart"/>
      <w:r w:rsidRPr="006971CE">
        <w:rPr>
          <w:rFonts w:ascii="Times New Roman" w:eastAsia="Calibri" w:hAnsi="Times New Roman" w:cs="Times New Roman"/>
          <w:color w:val="000000" w:themeColor="text1"/>
          <w:sz w:val="24"/>
          <w:szCs w:val="24"/>
        </w:rPr>
        <w:t>Tabel</w:t>
      </w:r>
      <w:proofErr w:type="spellEnd"/>
      <w:r w:rsidRPr="006971CE">
        <w:rPr>
          <w:rFonts w:ascii="Times New Roman" w:eastAsia="Calibri" w:hAnsi="Times New Roman" w:cs="Times New Roman"/>
          <w:color w:val="000000" w:themeColor="text1"/>
          <w:sz w:val="24"/>
          <w:szCs w:val="24"/>
        </w:rPr>
        <w:t xml:space="preserve"> 4.4 income and social relation</w:t>
      </w:r>
    </w:p>
    <w:tbl>
      <w:tblPr>
        <w:tblW w:w="0" w:type="auto"/>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0"/>
        <w:gridCol w:w="1360"/>
        <w:gridCol w:w="1670"/>
        <w:gridCol w:w="2390"/>
      </w:tblGrid>
      <w:tr w:rsidR="00605220" w:rsidRPr="006971CE" w:rsidTr="00605220">
        <w:trPr>
          <w:trHeight w:val="360"/>
        </w:trPr>
        <w:tc>
          <w:tcPr>
            <w:tcW w:w="1580" w:type="dxa"/>
            <w:vMerge w:val="restart"/>
            <w:tcBorders>
              <w:top w:val="single" w:sz="4" w:space="0" w:color="auto"/>
              <w:left w:val="single" w:sz="4" w:space="0" w:color="auto"/>
              <w:bottom w:val="single" w:sz="4" w:space="0" w:color="auto"/>
              <w:right w:val="single" w:sz="4" w:space="0" w:color="auto"/>
            </w:tcBorders>
            <w:hideMark/>
          </w:tcPr>
          <w:p w:rsidR="00605220" w:rsidRPr="006971CE" w:rsidRDefault="00605220">
            <w:pPr>
              <w:pStyle w:val="Heading4"/>
              <w:spacing w:line="276" w:lineRule="auto"/>
              <w:rPr>
                <w:rFonts w:eastAsia="Calibri"/>
                <w:b w:val="0"/>
                <w:bCs w:val="0"/>
                <w:sz w:val="20"/>
                <w:szCs w:val="20"/>
                <w:lang w:val="en-US" w:eastAsia="en-US"/>
              </w:rPr>
            </w:pPr>
            <w:bookmarkStart w:id="0" w:name="_Toc900890485"/>
            <w:r w:rsidRPr="006971CE">
              <w:rPr>
                <w:rFonts w:eastAsia="Calibri"/>
                <w:b w:val="0"/>
                <w:bCs w:val="0"/>
                <w:sz w:val="20"/>
                <w:szCs w:val="20"/>
              </w:rPr>
              <w:t>Income change</w:t>
            </w:r>
          </w:p>
        </w:tc>
        <w:tc>
          <w:tcPr>
            <w:tcW w:w="1360" w:type="dxa"/>
            <w:tcBorders>
              <w:top w:val="single" w:sz="4" w:space="0" w:color="auto"/>
              <w:left w:val="single" w:sz="4" w:space="0" w:color="auto"/>
              <w:bottom w:val="single" w:sz="4" w:space="0" w:color="auto"/>
              <w:right w:val="single" w:sz="4" w:space="0" w:color="auto"/>
            </w:tcBorders>
            <w:hideMark/>
          </w:tcPr>
          <w:p w:rsidR="00605220" w:rsidRPr="006971CE" w:rsidRDefault="00605220">
            <w:pPr>
              <w:pStyle w:val="Heading4"/>
              <w:spacing w:line="276" w:lineRule="auto"/>
              <w:ind w:left="-30"/>
              <w:rPr>
                <w:rFonts w:eastAsia="Calibri"/>
                <w:b w:val="0"/>
                <w:bCs w:val="0"/>
                <w:sz w:val="20"/>
                <w:szCs w:val="20"/>
                <w:lang w:val="en-US" w:eastAsia="en-US"/>
              </w:rPr>
            </w:pPr>
            <w:proofErr w:type="gramStart"/>
            <w:r w:rsidRPr="006971CE">
              <w:rPr>
                <w:rFonts w:eastAsia="Calibri"/>
                <w:b w:val="0"/>
                <w:bCs w:val="0"/>
                <w:sz w:val="20"/>
                <w:szCs w:val="20"/>
              </w:rPr>
              <w:t>increase</w:t>
            </w:r>
            <w:proofErr w:type="gramEnd"/>
          </w:p>
        </w:tc>
        <w:tc>
          <w:tcPr>
            <w:tcW w:w="1670" w:type="dxa"/>
            <w:tcBorders>
              <w:top w:val="single" w:sz="4" w:space="0" w:color="auto"/>
              <w:left w:val="single" w:sz="4" w:space="0" w:color="auto"/>
              <w:bottom w:val="single" w:sz="4" w:space="0" w:color="auto"/>
              <w:right w:val="single" w:sz="4" w:space="0" w:color="auto"/>
            </w:tcBorders>
            <w:hideMark/>
          </w:tcPr>
          <w:p w:rsidR="00605220" w:rsidRPr="006971CE" w:rsidRDefault="00605220">
            <w:pPr>
              <w:pStyle w:val="Heading4"/>
              <w:spacing w:line="276" w:lineRule="auto"/>
              <w:ind w:left="-30"/>
              <w:rPr>
                <w:rFonts w:eastAsia="Calibri"/>
                <w:b w:val="0"/>
                <w:bCs w:val="0"/>
                <w:sz w:val="20"/>
                <w:szCs w:val="20"/>
                <w:lang w:val="en-US" w:eastAsia="en-US"/>
              </w:rPr>
            </w:pPr>
            <w:r w:rsidRPr="006971CE">
              <w:rPr>
                <w:rFonts w:eastAsia="Calibri"/>
                <w:b w:val="0"/>
                <w:bCs w:val="0"/>
                <w:sz w:val="20"/>
                <w:szCs w:val="20"/>
              </w:rPr>
              <w:t>15</w:t>
            </w:r>
          </w:p>
        </w:tc>
        <w:tc>
          <w:tcPr>
            <w:tcW w:w="2390" w:type="dxa"/>
            <w:tcBorders>
              <w:top w:val="single" w:sz="4" w:space="0" w:color="auto"/>
              <w:left w:val="single" w:sz="4" w:space="0" w:color="auto"/>
              <w:bottom w:val="single" w:sz="4" w:space="0" w:color="auto"/>
              <w:right w:val="single" w:sz="4" w:space="0" w:color="auto"/>
            </w:tcBorders>
            <w:hideMark/>
          </w:tcPr>
          <w:p w:rsidR="00605220" w:rsidRPr="006971CE" w:rsidRDefault="00605220">
            <w:pPr>
              <w:pStyle w:val="Heading4"/>
              <w:spacing w:line="276" w:lineRule="auto"/>
              <w:rPr>
                <w:rFonts w:eastAsia="Calibri"/>
                <w:b w:val="0"/>
                <w:bCs w:val="0"/>
                <w:sz w:val="20"/>
                <w:szCs w:val="20"/>
                <w:lang w:val="en-US" w:eastAsia="en-US"/>
              </w:rPr>
            </w:pPr>
            <w:r w:rsidRPr="006971CE">
              <w:rPr>
                <w:rFonts w:eastAsia="Calibri"/>
                <w:b w:val="0"/>
                <w:bCs w:val="0"/>
                <w:sz w:val="20"/>
                <w:szCs w:val="20"/>
              </w:rPr>
              <w:t>15.1%</w:t>
            </w:r>
          </w:p>
        </w:tc>
      </w:tr>
      <w:tr w:rsidR="00605220" w:rsidRPr="006971CE" w:rsidTr="00605220">
        <w:trPr>
          <w:trHeight w:val="230"/>
        </w:trPr>
        <w:tc>
          <w:tcPr>
            <w:tcW w:w="0" w:type="auto"/>
            <w:vMerge/>
            <w:tcBorders>
              <w:top w:val="single" w:sz="4" w:space="0" w:color="auto"/>
              <w:left w:val="single" w:sz="4" w:space="0" w:color="auto"/>
              <w:bottom w:val="single" w:sz="4" w:space="0" w:color="auto"/>
              <w:right w:val="single" w:sz="4" w:space="0" w:color="auto"/>
            </w:tcBorders>
            <w:vAlign w:val="center"/>
            <w:hideMark/>
          </w:tcPr>
          <w:p w:rsidR="00605220" w:rsidRPr="006971CE" w:rsidRDefault="00605220">
            <w:pPr>
              <w:spacing w:after="0" w:line="240" w:lineRule="auto"/>
              <w:rPr>
                <w:rFonts w:ascii="Times New Roman" w:eastAsia="Calibri" w:hAnsi="Times New Roman" w:cs="Times New Roman"/>
                <w:sz w:val="20"/>
                <w:szCs w:val="20"/>
                <w:lang w:val="en-US"/>
              </w:rPr>
            </w:pPr>
          </w:p>
        </w:tc>
        <w:tc>
          <w:tcPr>
            <w:tcW w:w="1360" w:type="dxa"/>
            <w:tcBorders>
              <w:top w:val="single" w:sz="4" w:space="0" w:color="auto"/>
              <w:left w:val="single" w:sz="4" w:space="0" w:color="auto"/>
              <w:bottom w:val="single" w:sz="4" w:space="0" w:color="auto"/>
              <w:right w:val="single" w:sz="4" w:space="0" w:color="auto"/>
            </w:tcBorders>
            <w:hideMark/>
          </w:tcPr>
          <w:p w:rsidR="00605220" w:rsidRPr="006971CE" w:rsidRDefault="00605220">
            <w:pPr>
              <w:pStyle w:val="Heading4"/>
              <w:spacing w:line="276" w:lineRule="auto"/>
              <w:ind w:left="-30"/>
              <w:rPr>
                <w:rFonts w:eastAsia="Calibri"/>
                <w:b w:val="0"/>
                <w:bCs w:val="0"/>
                <w:sz w:val="20"/>
                <w:szCs w:val="20"/>
                <w:lang w:val="en-US" w:eastAsia="en-US"/>
              </w:rPr>
            </w:pPr>
            <w:proofErr w:type="gramStart"/>
            <w:r w:rsidRPr="006971CE">
              <w:rPr>
                <w:rFonts w:eastAsia="Calibri"/>
                <w:b w:val="0"/>
                <w:bCs w:val="0"/>
                <w:sz w:val="20"/>
                <w:szCs w:val="20"/>
              </w:rPr>
              <w:t>decreased</w:t>
            </w:r>
            <w:proofErr w:type="gramEnd"/>
          </w:p>
        </w:tc>
        <w:tc>
          <w:tcPr>
            <w:tcW w:w="1670" w:type="dxa"/>
            <w:tcBorders>
              <w:top w:val="single" w:sz="4" w:space="0" w:color="auto"/>
              <w:left w:val="single" w:sz="4" w:space="0" w:color="auto"/>
              <w:bottom w:val="single" w:sz="4" w:space="0" w:color="auto"/>
              <w:right w:val="single" w:sz="4" w:space="0" w:color="auto"/>
            </w:tcBorders>
            <w:hideMark/>
          </w:tcPr>
          <w:p w:rsidR="00605220" w:rsidRPr="006971CE" w:rsidRDefault="00605220">
            <w:pPr>
              <w:pStyle w:val="Heading4"/>
              <w:spacing w:line="276" w:lineRule="auto"/>
              <w:ind w:left="-30"/>
              <w:rPr>
                <w:rFonts w:eastAsia="Calibri"/>
                <w:b w:val="0"/>
                <w:bCs w:val="0"/>
                <w:sz w:val="20"/>
                <w:szCs w:val="20"/>
                <w:lang w:val="en-US" w:eastAsia="en-US"/>
              </w:rPr>
            </w:pPr>
            <w:r w:rsidRPr="006971CE">
              <w:rPr>
                <w:rFonts w:eastAsia="Calibri"/>
                <w:b w:val="0"/>
                <w:bCs w:val="0"/>
                <w:sz w:val="20"/>
                <w:szCs w:val="20"/>
              </w:rPr>
              <w:t>54</w:t>
            </w:r>
          </w:p>
        </w:tc>
        <w:tc>
          <w:tcPr>
            <w:tcW w:w="2390" w:type="dxa"/>
            <w:tcBorders>
              <w:top w:val="single" w:sz="4" w:space="0" w:color="auto"/>
              <w:left w:val="single" w:sz="4" w:space="0" w:color="auto"/>
              <w:bottom w:val="single" w:sz="4" w:space="0" w:color="auto"/>
              <w:right w:val="single" w:sz="4" w:space="0" w:color="auto"/>
            </w:tcBorders>
            <w:hideMark/>
          </w:tcPr>
          <w:p w:rsidR="00605220" w:rsidRPr="006971CE" w:rsidRDefault="00605220">
            <w:pPr>
              <w:pStyle w:val="Heading4"/>
              <w:spacing w:line="276" w:lineRule="auto"/>
              <w:rPr>
                <w:rFonts w:eastAsia="Calibri"/>
                <w:b w:val="0"/>
                <w:bCs w:val="0"/>
                <w:sz w:val="20"/>
                <w:szCs w:val="20"/>
                <w:lang w:val="en-US" w:eastAsia="en-US"/>
              </w:rPr>
            </w:pPr>
            <w:r w:rsidRPr="006971CE">
              <w:rPr>
                <w:rFonts w:eastAsia="Calibri"/>
                <w:b w:val="0"/>
                <w:bCs w:val="0"/>
                <w:sz w:val="20"/>
                <w:szCs w:val="20"/>
              </w:rPr>
              <w:t>54.5%</w:t>
            </w:r>
          </w:p>
        </w:tc>
      </w:tr>
      <w:tr w:rsidR="00605220" w:rsidRPr="006971CE" w:rsidTr="00605220">
        <w:trPr>
          <w:trHeight w:val="290"/>
        </w:trPr>
        <w:tc>
          <w:tcPr>
            <w:tcW w:w="0" w:type="auto"/>
            <w:vMerge/>
            <w:tcBorders>
              <w:top w:val="single" w:sz="4" w:space="0" w:color="auto"/>
              <w:left w:val="single" w:sz="4" w:space="0" w:color="auto"/>
              <w:bottom w:val="single" w:sz="4" w:space="0" w:color="auto"/>
              <w:right w:val="single" w:sz="4" w:space="0" w:color="auto"/>
            </w:tcBorders>
            <w:vAlign w:val="center"/>
            <w:hideMark/>
          </w:tcPr>
          <w:p w:rsidR="00605220" w:rsidRPr="006971CE" w:rsidRDefault="00605220">
            <w:pPr>
              <w:spacing w:after="0" w:line="240" w:lineRule="auto"/>
              <w:rPr>
                <w:rFonts w:ascii="Times New Roman" w:eastAsia="Calibri" w:hAnsi="Times New Roman" w:cs="Times New Roman"/>
                <w:sz w:val="20"/>
                <w:szCs w:val="20"/>
                <w:lang w:val="en-US"/>
              </w:rPr>
            </w:pPr>
          </w:p>
        </w:tc>
        <w:tc>
          <w:tcPr>
            <w:tcW w:w="1360" w:type="dxa"/>
            <w:tcBorders>
              <w:top w:val="single" w:sz="4" w:space="0" w:color="auto"/>
              <w:left w:val="single" w:sz="4" w:space="0" w:color="auto"/>
              <w:bottom w:val="single" w:sz="4" w:space="0" w:color="auto"/>
              <w:right w:val="single" w:sz="4" w:space="0" w:color="auto"/>
            </w:tcBorders>
            <w:hideMark/>
          </w:tcPr>
          <w:p w:rsidR="00605220" w:rsidRPr="006971CE" w:rsidRDefault="00605220">
            <w:pPr>
              <w:pStyle w:val="Heading4"/>
              <w:spacing w:line="276" w:lineRule="auto"/>
              <w:ind w:left="-30"/>
              <w:rPr>
                <w:rFonts w:eastAsia="Calibri"/>
                <w:b w:val="0"/>
                <w:bCs w:val="0"/>
                <w:sz w:val="20"/>
                <w:szCs w:val="20"/>
                <w:lang w:val="en-US" w:eastAsia="en-US"/>
              </w:rPr>
            </w:pPr>
            <w:r w:rsidRPr="006971CE">
              <w:rPr>
                <w:rFonts w:eastAsia="Calibri"/>
                <w:b w:val="0"/>
                <w:bCs w:val="0"/>
                <w:sz w:val="20"/>
                <w:szCs w:val="20"/>
              </w:rPr>
              <w:t>No change</w:t>
            </w:r>
          </w:p>
        </w:tc>
        <w:tc>
          <w:tcPr>
            <w:tcW w:w="1670" w:type="dxa"/>
            <w:tcBorders>
              <w:top w:val="single" w:sz="4" w:space="0" w:color="auto"/>
              <w:left w:val="single" w:sz="4" w:space="0" w:color="auto"/>
              <w:bottom w:val="single" w:sz="4" w:space="0" w:color="auto"/>
              <w:right w:val="single" w:sz="4" w:space="0" w:color="auto"/>
            </w:tcBorders>
            <w:hideMark/>
          </w:tcPr>
          <w:p w:rsidR="00605220" w:rsidRPr="006971CE" w:rsidRDefault="00605220">
            <w:pPr>
              <w:pStyle w:val="Heading4"/>
              <w:spacing w:line="276" w:lineRule="auto"/>
              <w:ind w:left="-30"/>
              <w:rPr>
                <w:rFonts w:eastAsia="Calibri"/>
                <w:b w:val="0"/>
                <w:bCs w:val="0"/>
                <w:sz w:val="20"/>
                <w:szCs w:val="20"/>
                <w:lang w:val="en-US" w:eastAsia="en-US"/>
              </w:rPr>
            </w:pPr>
            <w:r w:rsidRPr="006971CE">
              <w:rPr>
                <w:rFonts w:eastAsia="Calibri"/>
                <w:b w:val="0"/>
                <w:bCs w:val="0"/>
                <w:sz w:val="20"/>
                <w:szCs w:val="20"/>
              </w:rPr>
              <w:t>30</w:t>
            </w:r>
          </w:p>
        </w:tc>
        <w:tc>
          <w:tcPr>
            <w:tcW w:w="2390" w:type="dxa"/>
            <w:tcBorders>
              <w:top w:val="single" w:sz="4" w:space="0" w:color="auto"/>
              <w:left w:val="single" w:sz="4" w:space="0" w:color="auto"/>
              <w:bottom w:val="single" w:sz="4" w:space="0" w:color="auto"/>
              <w:right w:val="single" w:sz="4" w:space="0" w:color="auto"/>
            </w:tcBorders>
            <w:hideMark/>
          </w:tcPr>
          <w:p w:rsidR="00605220" w:rsidRPr="006971CE" w:rsidRDefault="00605220">
            <w:pPr>
              <w:pStyle w:val="Heading4"/>
              <w:spacing w:line="276" w:lineRule="auto"/>
              <w:rPr>
                <w:rFonts w:eastAsia="Calibri"/>
                <w:b w:val="0"/>
                <w:bCs w:val="0"/>
                <w:sz w:val="20"/>
                <w:szCs w:val="20"/>
                <w:lang w:val="en-US" w:eastAsia="en-US"/>
              </w:rPr>
            </w:pPr>
            <w:r w:rsidRPr="006971CE">
              <w:rPr>
                <w:rFonts w:eastAsia="Calibri"/>
                <w:b w:val="0"/>
                <w:bCs w:val="0"/>
                <w:sz w:val="20"/>
                <w:szCs w:val="20"/>
              </w:rPr>
              <w:t>30.3%</w:t>
            </w:r>
          </w:p>
        </w:tc>
      </w:tr>
      <w:tr w:rsidR="00605220" w:rsidRPr="006971CE" w:rsidTr="00605220">
        <w:trPr>
          <w:trHeight w:val="110"/>
        </w:trPr>
        <w:tc>
          <w:tcPr>
            <w:tcW w:w="0" w:type="auto"/>
            <w:vMerge/>
            <w:tcBorders>
              <w:top w:val="single" w:sz="4" w:space="0" w:color="auto"/>
              <w:left w:val="single" w:sz="4" w:space="0" w:color="auto"/>
              <w:bottom w:val="single" w:sz="4" w:space="0" w:color="auto"/>
              <w:right w:val="single" w:sz="4" w:space="0" w:color="auto"/>
            </w:tcBorders>
            <w:vAlign w:val="center"/>
            <w:hideMark/>
          </w:tcPr>
          <w:p w:rsidR="00605220" w:rsidRPr="006971CE" w:rsidRDefault="00605220">
            <w:pPr>
              <w:spacing w:after="0" w:line="240" w:lineRule="auto"/>
              <w:rPr>
                <w:rFonts w:ascii="Times New Roman" w:eastAsia="Calibri" w:hAnsi="Times New Roman" w:cs="Times New Roman"/>
                <w:sz w:val="20"/>
                <w:szCs w:val="20"/>
                <w:lang w:val="en-US"/>
              </w:rPr>
            </w:pPr>
          </w:p>
        </w:tc>
        <w:tc>
          <w:tcPr>
            <w:tcW w:w="1360" w:type="dxa"/>
            <w:tcBorders>
              <w:top w:val="single" w:sz="4" w:space="0" w:color="auto"/>
              <w:left w:val="single" w:sz="4" w:space="0" w:color="auto"/>
              <w:bottom w:val="single" w:sz="4" w:space="0" w:color="auto"/>
              <w:right w:val="single" w:sz="4" w:space="0" w:color="auto"/>
            </w:tcBorders>
            <w:hideMark/>
          </w:tcPr>
          <w:p w:rsidR="00605220" w:rsidRPr="006971CE" w:rsidRDefault="00605220">
            <w:pPr>
              <w:pStyle w:val="Heading4"/>
              <w:spacing w:line="276" w:lineRule="auto"/>
              <w:ind w:left="-30"/>
              <w:rPr>
                <w:rFonts w:eastAsia="Calibri"/>
                <w:b w:val="0"/>
                <w:bCs w:val="0"/>
                <w:sz w:val="20"/>
                <w:szCs w:val="20"/>
                <w:lang w:val="en-US" w:eastAsia="en-US"/>
              </w:rPr>
            </w:pPr>
            <w:proofErr w:type="gramStart"/>
            <w:r w:rsidRPr="006971CE">
              <w:rPr>
                <w:rFonts w:eastAsia="Calibri"/>
                <w:b w:val="0"/>
                <w:bCs w:val="0"/>
                <w:sz w:val="20"/>
                <w:szCs w:val="20"/>
              </w:rPr>
              <w:t>total</w:t>
            </w:r>
            <w:proofErr w:type="gramEnd"/>
          </w:p>
        </w:tc>
        <w:tc>
          <w:tcPr>
            <w:tcW w:w="1670" w:type="dxa"/>
            <w:tcBorders>
              <w:top w:val="single" w:sz="4" w:space="0" w:color="auto"/>
              <w:left w:val="single" w:sz="4" w:space="0" w:color="auto"/>
              <w:bottom w:val="single" w:sz="4" w:space="0" w:color="auto"/>
              <w:right w:val="single" w:sz="4" w:space="0" w:color="auto"/>
            </w:tcBorders>
            <w:hideMark/>
          </w:tcPr>
          <w:p w:rsidR="00605220" w:rsidRPr="006971CE" w:rsidRDefault="00605220">
            <w:pPr>
              <w:pStyle w:val="Heading4"/>
              <w:spacing w:line="276" w:lineRule="auto"/>
              <w:ind w:left="-30"/>
              <w:rPr>
                <w:rFonts w:eastAsia="Calibri"/>
                <w:b w:val="0"/>
                <w:bCs w:val="0"/>
                <w:sz w:val="20"/>
                <w:szCs w:val="20"/>
                <w:lang w:val="en-US" w:eastAsia="en-US"/>
              </w:rPr>
            </w:pPr>
            <w:r w:rsidRPr="006971CE">
              <w:rPr>
                <w:rFonts w:eastAsia="Calibri"/>
                <w:b w:val="0"/>
                <w:bCs w:val="0"/>
                <w:sz w:val="20"/>
                <w:szCs w:val="20"/>
              </w:rPr>
              <w:t>99</w:t>
            </w:r>
          </w:p>
        </w:tc>
        <w:tc>
          <w:tcPr>
            <w:tcW w:w="2390" w:type="dxa"/>
            <w:tcBorders>
              <w:top w:val="single" w:sz="4" w:space="0" w:color="auto"/>
              <w:left w:val="single" w:sz="4" w:space="0" w:color="auto"/>
              <w:bottom w:val="single" w:sz="4" w:space="0" w:color="auto"/>
              <w:right w:val="single" w:sz="4" w:space="0" w:color="auto"/>
            </w:tcBorders>
            <w:hideMark/>
          </w:tcPr>
          <w:p w:rsidR="00605220" w:rsidRPr="006971CE" w:rsidRDefault="00605220">
            <w:pPr>
              <w:pStyle w:val="Heading4"/>
              <w:spacing w:line="276" w:lineRule="auto"/>
              <w:rPr>
                <w:rFonts w:eastAsia="Calibri"/>
                <w:b w:val="0"/>
                <w:bCs w:val="0"/>
                <w:sz w:val="20"/>
                <w:szCs w:val="20"/>
                <w:lang w:val="en-US" w:eastAsia="en-US"/>
              </w:rPr>
            </w:pPr>
            <w:r w:rsidRPr="006971CE">
              <w:rPr>
                <w:rFonts w:eastAsia="Calibri"/>
                <w:b w:val="0"/>
                <w:bCs w:val="0"/>
                <w:sz w:val="20"/>
                <w:szCs w:val="20"/>
              </w:rPr>
              <w:t>100%</w:t>
            </w:r>
          </w:p>
        </w:tc>
      </w:tr>
      <w:tr w:rsidR="00605220" w:rsidRPr="006971CE" w:rsidTr="00605220">
        <w:trPr>
          <w:trHeight w:val="350"/>
        </w:trPr>
        <w:tc>
          <w:tcPr>
            <w:tcW w:w="1580" w:type="dxa"/>
            <w:vMerge w:val="restart"/>
            <w:tcBorders>
              <w:top w:val="single" w:sz="4" w:space="0" w:color="auto"/>
              <w:left w:val="single" w:sz="4" w:space="0" w:color="auto"/>
              <w:bottom w:val="single" w:sz="4" w:space="0" w:color="auto"/>
              <w:right w:val="single" w:sz="4" w:space="0" w:color="auto"/>
            </w:tcBorders>
            <w:hideMark/>
          </w:tcPr>
          <w:p w:rsidR="00605220" w:rsidRPr="006971CE" w:rsidRDefault="00605220">
            <w:pPr>
              <w:pStyle w:val="Heading4"/>
              <w:spacing w:line="276" w:lineRule="auto"/>
              <w:rPr>
                <w:rFonts w:eastAsia="Calibri"/>
                <w:b w:val="0"/>
                <w:bCs w:val="0"/>
                <w:sz w:val="20"/>
                <w:szCs w:val="20"/>
                <w:lang w:val="en-US" w:eastAsia="en-US"/>
              </w:rPr>
            </w:pPr>
            <w:r w:rsidRPr="006971CE">
              <w:rPr>
                <w:rFonts w:eastAsia="Calibri"/>
                <w:b w:val="0"/>
                <w:bCs w:val="0"/>
                <w:sz w:val="20"/>
                <w:szCs w:val="20"/>
              </w:rPr>
              <w:t>Social relation change</w:t>
            </w:r>
          </w:p>
        </w:tc>
        <w:tc>
          <w:tcPr>
            <w:tcW w:w="1360" w:type="dxa"/>
            <w:tcBorders>
              <w:top w:val="single" w:sz="4" w:space="0" w:color="auto"/>
              <w:left w:val="single" w:sz="4" w:space="0" w:color="auto"/>
              <w:bottom w:val="single" w:sz="4" w:space="0" w:color="auto"/>
              <w:right w:val="single" w:sz="4" w:space="0" w:color="auto"/>
            </w:tcBorders>
            <w:hideMark/>
          </w:tcPr>
          <w:p w:rsidR="00605220" w:rsidRPr="006971CE" w:rsidRDefault="00605220">
            <w:pPr>
              <w:pStyle w:val="Heading4"/>
              <w:spacing w:line="276" w:lineRule="auto"/>
              <w:ind w:left="-30"/>
              <w:rPr>
                <w:rFonts w:eastAsia="Calibri"/>
                <w:b w:val="0"/>
                <w:bCs w:val="0"/>
                <w:sz w:val="20"/>
                <w:szCs w:val="20"/>
                <w:lang w:val="en-US" w:eastAsia="en-US"/>
              </w:rPr>
            </w:pPr>
            <w:proofErr w:type="gramStart"/>
            <w:r w:rsidRPr="006971CE">
              <w:rPr>
                <w:rFonts w:eastAsia="Calibri"/>
                <w:b w:val="0"/>
                <w:bCs w:val="0"/>
                <w:sz w:val="20"/>
                <w:szCs w:val="20"/>
              </w:rPr>
              <w:t>improved</w:t>
            </w:r>
            <w:proofErr w:type="gramEnd"/>
          </w:p>
        </w:tc>
        <w:tc>
          <w:tcPr>
            <w:tcW w:w="1670" w:type="dxa"/>
            <w:tcBorders>
              <w:top w:val="single" w:sz="4" w:space="0" w:color="auto"/>
              <w:left w:val="single" w:sz="4" w:space="0" w:color="auto"/>
              <w:bottom w:val="single" w:sz="4" w:space="0" w:color="auto"/>
              <w:right w:val="single" w:sz="4" w:space="0" w:color="auto"/>
            </w:tcBorders>
            <w:hideMark/>
          </w:tcPr>
          <w:p w:rsidR="00605220" w:rsidRPr="006971CE" w:rsidRDefault="00605220">
            <w:pPr>
              <w:pStyle w:val="Heading4"/>
              <w:spacing w:line="276" w:lineRule="auto"/>
              <w:ind w:left="-30"/>
              <w:rPr>
                <w:rFonts w:eastAsia="Calibri"/>
                <w:b w:val="0"/>
                <w:bCs w:val="0"/>
                <w:sz w:val="20"/>
                <w:szCs w:val="20"/>
                <w:lang w:val="en-US" w:eastAsia="en-US"/>
              </w:rPr>
            </w:pPr>
            <w:r w:rsidRPr="006971CE">
              <w:rPr>
                <w:rFonts w:eastAsia="Calibri"/>
                <w:b w:val="0"/>
                <w:bCs w:val="0"/>
                <w:sz w:val="20"/>
                <w:szCs w:val="20"/>
              </w:rPr>
              <w:t>10</w:t>
            </w:r>
          </w:p>
        </w:tc>
        <w:tc>
          <w:tcPr>
            <w:tcW w:w="2390" w:type="dxa"/>
            <w:tcBorders>
              <w:top w:val="single" w:sz="4" w:space="0" w:color="auto"/>
              <w:left w:val="single" w:sz="4" w:space="0" w:color="auto"/>
              <w:bottom w:val="single" w:sz="4" w:space="0" w:color="auto"/>
              <w:right w:val="single" w:sz="4" w:space="0" w:color="auto"/>
            </w:tcBorders>
            <w:hideMark/>
          </w:tcPr>
          <w:p w:rsidR="00605220" w:rsidRPr="006971CE" w:rsidRDefault="00605220">
            <w:pPr>
              <w:pStyle w:val="Heading4"/>
              <w:spacing w:line="276" w:lineRule="auto"/>
              <w:rPr>
                <w:rFonts w:eastAsia="Calibri"/>
                <w:b w:val="0"/>
                <w:bCs w:val="0"/>
                <w:sz w:val="20"/>
                <w:szCs w:val="20"/>
                <w:lang w:val="en-US" w:eastAsia="en-US"/>
              </w:rPr>
            </w:pPr>
            <w:r w:rsidRPr="006971CE">
              <w:rPr>
                <w:rFonts w:eastAsia="Calibri"/>
                <w:b w:val="0"/>
                <w:bCs w:val="0"/>
                <w:sz w:val="20"/>
                <w:szCs w:val="20"/>
              </w:rPr>
              <w:t>10.1%</w:t>
            </w:r>
          </w:p>
        </w:tc>
      </w:tr>
      <w:tr w:rsidR="00605220" w:rsidRPr="006971CE" w:rsidTr="00605220">
        <w:trPr>
          <w:trHeight w:val="400"/>
        </w:trPr>
        <w:tc>
          <w:tcPr>
            <w:tcW w:w="0" w:type="auto"/>
            <w:vMerge/>
            <w:tcBorders>
              <w:top w:val="single" w:sz="4" w:space="0" w:color="auto"/>
              <w:left w:val="single" w:sz="4" w:space="0" w:color="auto"/>
              <w:bottom w:val="single" w:sz="4" w:space="0" w:color="auto"/>
              <w:right w:val="single" w:sz="4" w:space="0" w:color="auto"/>
            </w:tcBorders>
            <w:vAlign w:val="center"/>
            <w:hideMark/>
          </w:tcPr>
          <w:p w:rsidR="00605220" w:rsidRPr="006971CE" w:rsidRDefault="00605220">
            <w:pPr>
              <w:spacing w:after="0" w:line="240" w:lineRule="auto"/>
              <w:rPr>
                <w:rFonts w:ascii="Times New Roman" w:eastAsia="Calibri" w:hAnsi="Times New Roman" w:cs="Times New Roman"/>
                <w:sz w:val="20"/>
                <w:szCs w:val="20"/>
                <w:lang w:val="en-US"/>
              </w:rPr>
            </w:pPr>
          </w:p>
        </w:tc>
        <w:tc>
          <w:tcPr>
            <w:tcW w:w="1360" w:type="dxa"/>
            <w:tcBorders>
              <w:top w:val="single" w:sz="4" w:space="0" w:color="auto"/>
              <w:left w:val="single" w:sz="4" w:space="0" w:color="auto"/>
              <w:bottom w:val="single" w:sz="4" w:space="0" w:color="auto"/>
              <w:right w:val="single" w:sz="4" w:space="0" w:color="auto"/>
            </w:tcBorders>
            <w:hideMark/>
          </w:tcPr>
          <w:p w:rsidR="00605220" w:rsidRPr="006971CE" w:rsidRDefault="00605220">
            <w:pPr>
              <w:pStyle w:val="Heading4"/>
              <w:spacing w:line="276" w:lineRule="auto"/>
              <w:ind w:left="-30"/>
              <w:rPr>
                <w:rFonts w:eastAsia="Calibri"/>
                <w:b w:val="0"/>
                <w:bCs w:val="0"/>
                <w:sz w:val="20"/>
                <w:szCs w:val="20"/>
                <w:lang w:val="en-US" w:eastAsia="en-US"/>
              </w:rPr>
            </w:pPr>
            <w:proofErr w:type="gramStart"/>
            <w:r w:rsidRPr="006971CE">
              <w:rPr>
                <w:rFonts w:eastAsia="Calibri"/>
                <w:b w:val="0"/>
                <w:bCs w:val="0"/>
                <w:sz w:val="20"/>
                <w:szCs w:val="20"/>
              </w:rPr>
              <w:t>weakened</w:t>
            </w:r>
            <w:proofErr w:type="gramEnd"/>
          </w:p>
        </w:tc>
        <w:tc>
          <w:tcPr>
            <w:tcW w:w="1670" w:type="dxa"/>
            <w:tcBorders>
              <w:top w:val="single" w:sz="4" w:space="0" w:color="auto"/>
              <w:left w:val="single" w:sz="4" w:space="0" w:color="auto"/>
              <w:bottom w:val="single" w:sz="4" w:space="0" w:color="auto"/>
              <w:right w:val="single" w:sz="4" w:space="0" w:color="auto"/>
            </w:tcBorders>
            <w:hideMark/>
          </w:tcPr>
          <w:p w:rsidR="00605220" w:rsidRPr="006971CE" w:rsidRDefault="00605220">
            <w:pPr>
              <w:pStyle w:val="Heading4"/>
              <w:spacing w:line="276" w:lineRule="auto"/>
              <w:rPr>
                <w:rFonts w:eastAsia="Calibri"/>
                <w:b w:val="0"/>
                <w:bCs w:val="0"/>
                <w:sz w:val="20"/>
                <w:szCs w:val="20"/>
                <w:lang w:val="en-US" w:eastAsia="en-US"/>
              </w:rPr>
            </w:pPr>
            <w:r w:rsidRPr="006971CE">
              <w:rPr>
                <w:rFonts w:eastAsia="Calibri"/>
                <w:b w:val="0"/>
                <w:bCs w:val="0"/>
                <w:sz w:val="20"/>
                <w:szCs w:val="20"/>
              </w:rPr>
              <w:t>69</w:t>
            </w:r>
          </w:p>
        </w:tc>
        <w:tc>
          <w:tcPr>
            <w:tcW w:w="2390" w:type="dxa"/>
            <w:tcBorders>
              <w:top w:val="single" w:sz="4" w:space="0" w:color="auto"/>
              <w:left w:val="single" w:sz="4" w:space="0" w:color="auto"/>
              <w:bottom w:val="single" w:sz="4" w:space="0" w:color="auto"/>
              <w:right w:val="single" w:sz="4" w:space="0" w:color="auto"/>
            </w:tcBorders>
            <w:hideMark/>
          </w:tcPr>
          <w:p w:rsidR="00605220" w:rsidRPr="006971CE" w:rsidRDefault="00605220">
            <w:pPr>
              <w:pStyle w:val="Heading4"/>
              <w:spacing w:line="276" w:lineRule="auto"/>
              <w:rPr>
                <w:rFonts w:eastAsia="Calibri"/>
                <w:b w:val="0"/>
                <w:bCs w:val="0"/>
                <w:sz w:val="20"/>
                <w:szCs w:val="20"/>
                <w:lang w:val="en-US" w:eastAsia="en-US"/>
              </w:rPr>
            </w:pPr>
            <w:r w:rsidRPr="006971CE">
              <w:rPr>
                <w:rFonts w:eastAsia="Calibri"/>
                <w:b w:val="0"/>
                <w:bCs w:val="0"/>
                <w:sz w:val="20"/>
                <w:szCs w:val="20"/>
              </w:rPr>
              <w:t>69.6%</w:t>
            </w:r>
          </w:p>
        </w:tc>
      </w:tr>
      <w:tr w:rsidR="00605220" w:rsidRPr="006971CE" w:rsidTr="00605220">
        <w:trPr>
          <w:trHeight w:val="250"/>
        </w:trPr>
        <w:tc>
          <w:tcPr>
            <w:tcW w:w="0" w:type="auto"/>
            <w:vMerge/>
            <w:tcBorders>
              <w:top w:val="single" w:sz="4" w:space="0" w:color="auto"/>
              <w:left w:val="single" w:sz="4" w:space="0" w:color="auto"/>
              <w:bottom w:val="single" w:sz="4" w:space="0" w:color="auto"/>
              <w:right w:val="single" w:sz="4" w:space="0" w:color="auto"/>
            </w:tcBorders>
            <w:vAlign w:val="center"/>
            <w:hideMark/>
          </w:tcPr>
          <w:p w:rsidR="00605220" w:rsidRPr="006971CE" w:rsidRDefault="00605220">
            <w:pPr>
              <w:spacing w:after="0" w:line="240" w:lineRule="auto"/>
              <w:rPr>
                <w:rFonts w:ascii="Times New Roman" w:eastAsia="Calibri" w:hAnsi="Times New Roman" w:cs="Times New Roman"/>
                <w:sz w:val="20"/>
                <w:szCs w:val="20"/>
                <w:lang w:val="en-US"/>
              </w:rPr>
            </w:pPr>
          </w:p>
        </w:tc>
        <w:tc>
          <w:tcPr>
            <w:tcW w:w="1360" w:type="dxa"/>
            <w:tcBorders>
              <w:top w:val="single" w:sz="4" w:space="0" w:color="auto"/>
              <w:left w:val="single" w:sz="4" w:space="0" w:color="auto"/>
              <w:bottom w:val="single" w:sz="4" w:space="0" w:color="auto"/>
              <w:right w:val="single" w:sz="4" w:space="0" w:color="auto"/>
            </w:tcBorders>
            <w:hideMark/>
          </w:tcPr>
          <w:p w:rsidR="00605220" w:rsidRPr="006971CE" w:rsidRDefault="00605220">
            <w:pPr>
              <w:pStyle w:val="Heading4"/>
              <w:spacing w:line="276" w:lineRule="auto"/>
              <w:ind w:left="-30"/>
              <w:rPr>
                <w:rFonts w:eastAsia="Calibri"/>
                <w:b w:val="0"/>
                <w:bCs w:val="0"/>
                <w:sz w:val="20"/>
                <w:szCs w:val="20"/>
                <w:lang w:val="en-US" w:eastAsia="en-US"/>
              </w:rPr>
            </w:pPr>
            <w:r w:rsidRPr="006971CE">
              <w:rPr>
                <w:rFonts w:eastAsia="Calibri"/>
                <w:b w:val="0"/>
                <w:bCs w:val="0"/>
                <w:sz w:val="20"/>
                <w:szCs w:val="20"/>
              </w:rPr>
              <w:t>No change</w:t>
            </w:r>
          </w:p>
        </w:tc>
        <w:tc>
          <w:tcPr>
            <w:tcW w:w="1670" w:type="dxa"/>
            <w:tcBorders>
              <w:top w:val="single" w:sz="4" w:space="0" w:color="auto"/>
              <w:left w:val="single" w:sz="4" w:space="0" w:color="auto"/>
              <w:bottom w:val="single" w:sz="4" w:space="0" w:color="auto"/>
              <w:right w:val="single" w:sz="4" w:space="0" w:color="auto"/>
            </w:tcBorders>
            <w:hideMark/>
          </w:tcPr>
          <w:p w:rsidR="00605220" w:rsidRPr="006971CE" w:rsidRDefault="00605220">
            <w:pPr>
              <w:pStyle w:val="Heading4"/>
              <w:spacing w:line="276" w:lineRule="auto"/>
              <w:ind w:left="-30"/>
              <w:rPr>
                <w:rFonts w:eastAsia="Calibri"/>
                <w:b w:val="0"/>
                <w:bCs w:val="0"/>
                <w:sz w:val="20"/>
                <w:szCs w:val="20"/>
                <w:lang w:val="en-US" w:eastAsia="en-US"/>
              </w:rPr>
            </w:pPr>
            <w:r w:rsidRPr="006971CE">
              <w:rPr>
                <w:rFonts w:eastAsia="Calibri"/>
                <w:b w:val="0"/>
                <w:bCs w:val="0"/>
                <w:sz w:val="20"/>
                <w:szCs w:val="20"/>
              </w:rPr>
              <w:t>20</w:t>
            </w:r>
          </w:p>
        </w:tc>
        <w:tc>
          <w:tcPr>
            <w:tcW w:w="2390" w:type="dxa"/>
            <w:tcBorders>
              <w:top w:val="single" w:sz="4" w:space="0" w:color="auto"/>
              <w:left w:val="single" w:sz="4" w:space="0" w:color="auto"/>
              <w:bottom w:val="single" w:sz="4" w:space="0" w:color="auto"/>
              <w:right w:val="single" w:sz="4" w:space="0" w:color="auto"/>
            </w:tcBorders>
            <w:hideMark/>
          </w:tcPr>
          <w:p w:rsidR="00605220" w:rsidRPr="006971CE" w:rsidRDefault="00605220">
            <w:pPr>
              <w:pStyle w:val="Heading4"/>
              <w:spacing w:line="276" w:lineRule="auto"/>
              <w:rPr>
                <w:rFonts w:eastAsia="Calibri"/>
                <w:b w:val="0"/>
                <w:bCs w:val="0"/>
                <w:sz w:val="20"/>
                <w:szCs w:val="20"/>
                <w:lang w:val="en-US" w:eastAsia="en-US"/>
              </w:rPr>
            </w:pPr>
            <w:r w:rsidRPr="006971CE">
              <w:rPr>
                <w:rFonts w:eastAsia="Calibri"/>
                <w:b w:val="0"/>
                <w:bCs w:val="0"/>
                <w:sz w:val="20"/>
                <w:szCs w:val="20"/>
              </w:rPr>
              <w:t>20.2%</w:t>
            </w:r>
          </w:p>
        </w:tc>
      </w:tr>
      <w:tr w:rsidR="00605220" w:rsidRPr="006971CE" w:rsidTr="00605220">
        <w:trPr>
          <w:trHeight w:val="60"/>
        </w:trPr>
        <w:tc>
          <w:tcPr>
            <w:tcW w:w="0" w:type="auto"/>
            <w:vMerge/>
            <w:tcBorders>
              <w:top w:val="single" w:sz="4" w:space="0" w:color="auto"/>
              <w:left w:val="single" w:sz="4" w:space="0" w:color="auto"/>
              <w:bottom w:val="single" w:sz="4" w:space="0" w:color="auto"/>
              <w:right w:val="single" w:sz="4" w:space="0" w:color="auto"/>
            </w:tcBorders>
            <w:vAlign w:val="center"/>
            <w:hideMark/>
          </w:tcPr>
          <w:p w:rsidR="00605220" w:rsidRPr="006971CE" w:rsidRDefault="00605220">
            <w:pPr>
              <w:spacing w:after="0" w:line="240" w:lineRule="auto"/>
              <w:rPr>
                <w:rFonts w:ascii="Times New Roman" w:eastAsia="Calibri" w:hAnsi="Times New Roman" w:cs="Times New Roman"/>
                <w:sz w:val="20"/>
                <w:szCs w:val="20"/>
                <w:lang w:val="en-US"/>
              </w:rPr>
            </w:pPr>
          </w:p>
        </w:tc>
        <w:tc>
          <w:tcPr>
            <w:tcW w:w="1360" w:type="dxa"/>
            <w:tcBorders>
              <w:top w:val="single" w:sz="4" w:space="0" w:color="auto"/>
              <w:left w:val="single" w:sz="4" w:space="0" w:color="auto"/>
              <w:bottom w:val="single" w:sz="4" w:space="0" w:color="auto"/>
              <w:right w:val="single" w:sz="4" w:space="0" w:color="auto"/>
            </w:tcBorders>
            <w:hideMark/>
          </w:tcPr>
          <w:p w:rsidR="00605220" w:rsidRPr="006971CE" w:rsidRDefault="00605220">
            <w:pPr>
              <w:pStyle w:val="Heading4"/>
              <w:spacing w:line="276" w:lineRule="auto"/>
              <w:ind w:left="-30"/>
              <w:rPr>
                <w:rFonts w:eastAsia="Calibri"/>
                <w:b w:val="0"/>
                <w:bCs w:val="0"/>
                <w:sz w:val="20"/>
                <w:szCs w:val="20"/>
                <w:lang w:val="en-US" w:eastAsia="en-US"/>
              </w:rPr>
            </w:pPr>
            <w:proofErr w:type="gramStart"/>
            <w:r w:rsidRPr="006971CE">
              <w:rPr>
                <w:rFonts w:eastAsia="Calibri"/>
                <w:b w:val="0"/>
                <w:bCs w:val="0"/>
                <w:sz w:val="20"/>
                <w:szCs w:val="20"/>
              </w:rPr>
              <w:t>total</w:t>
            </w:r>
            <w:proofErr w:type="gramEnd"/>
          </w:p>
        </w:tc>
        <w:tc>
          <w:tcPr>
            <w:tcW w:w="1670" w:type="dxa"/>
            <w:tcBorders>
              <w:top w:val="single" w:sz="4" w:space="0" w:color="auto"/>
              <w:left w:val="single" w:sz="4" w:space="0" w:color="auto"/>
              <w:bottom w:val="single" w:sz="4" w:space="0" w:color="auto"/>
              <w:right w:val="single" w:sz="4" w:space="0" w:color="auto"/>
            </w:tcBorders>
            <w:hideMark/>
          </w:tcPr>
          <w:p w:rsidR="00605220" w:rsidRPr="006971CE" w:rsidRDefault="00605220">
            <w:pPr>
              <w:pStyle w:val="Heading4"/>
              <w:spacing w:line="276" w:lineRule="auto"/>
              <w:ind w:left="-30"/>
              <w:rPr>
                <w:rFonts w:eastAsia="Calibri"/>
                <w:b w:val="0"/>
                <w:bCs w:val="0"/>
                <w:sz w:val="20"/>
                <w:szCs w:val="20"/>
                <w:lang w:val="en-US" w:eastAsia="en-US"/>
              </w:rPr>
            </w:pPr>
            <w:r w:rsidRPr="006971CE">
              <w:rPr>
                <w:rFonts w:eastAsia="Calibri"/>
                <w:b w:val="0"/>
                <w:bCs w:val="0"/>
                <w:sz w:val="20"/>
                <w:szCs w:val="20"/>
              </w:rPr>
              <w:t>99</w:t>
            </w:r>
          </w:p>
        </w:tc>
        <w:tc>
          <w:tcPr>
            <w:tcW w:w="2390" w:type="dxa"/>
            <w:tcBorders>
              <w:top w:val="single" w:sz="4" w:space="0" w:color="auto"/>
              <w:left w:val="single" w:sz="4" w:space="0" w:color="auto"/>
              <w:bottom w:val="single" w:sz="4" w:space="0" w:color="auto"/>
              <w:right w:val="single" w:sz="4" w:space="0" w:color="auto"/>
            </w:tcBorders>
            <w:hideMark/>
          </w:tcPr>
          <w:p w:rsidR="00605220" w:rsidRPr="006971CE" w:rsidRDefault="00605220">
            <w:pPr>
              <w:pStyle w:val="Heading4"/>
              <w:spacing w:line="276" w:lineRule="auto"/>
              <w:rPr>
                <w:rFonts w:eastAsia="Calibri"/>
                <w:b w:val="0"/>
                <w:bCs w:val="0"/>
                <w:sz w:val="20"/>
                <w:szCs w:val="20"/>
                <w:lang w:val="en-US" w:eastAsia="en-US"/>
              </w:rPr>
            </w:pPr>
            <w:r w:rsidRPr="006971CE">
              <w:rPr>
                <w:rFonts w:eastAsia="Calibri"/>
                <w:b w:val="0"/>
                <w:bCs w:val="0"/>
                <w:sz w:val="20"/>
                <w:szCs w:val="20"/>
              </w:rPr>
              <w:t>100%</w:t>
            </w:r>
          </w:p>
        </w:tc>
      </w:tr>
      <w:bookmarkEnd w:id="0"/>
    </w:tbl>
    <w:p w:rsidR="00733C37" w:rsidRDefault="00733C37" w:rsidP="00A7152E">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p>
    <w:p w:rsidR="00733C37" w:rsidRDefault="00733C37" w:rsidP="00A7152E">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p>
    <w:p w:rsidR="00733C37" w:rsidRDefault="00733C37" w:rsidP="00A7152E">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p>
    <w:p w:rsidR="00A7152E" w:rsidRPr="00A7152E" w:rsidRDefault="00A7152E" w:rsidP="00A7152E">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6971CE">
        <w:rPr>
          <w:rFonts w:ascii="Times New Roman" w:eastAsia="Times New Roman" w:hAnsi="Times New Roman" w:cs="Times New Roman"/>
          <w:b/>
          <w:bCs/>
          <w:sz w:val="24"/>
          <w:szCs w:val="24"/>
          <w:lang w:eastAsia="en-GB"/>
        </w:rPr>
        <w:lastRenderedPageBreak/>
        <w:t>Interpretation</w:t>
      </w:r>
    </w:p>
    <w:p w:rsidR="006971CE" w:rsidRDefault="00A7152E" w:rsidP="006971CE">
      <w:pPr>
        <w:spacing w:before="100" w:beforeAutospacing="1" w:after="100" w:afterAutospacing="1" w:line="240" w:lineRule="auto"/>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 xml:space="preserve">These numbers reveal </w:t>
      </w:r>
      <w:r w:rsidRPr="006971CE">
        <w:rPr>
          <w:rFonts w:ascii="Times New Roman" w:eastAsia="Times New Roman" w:hAnsi="Times New Roman" w:cs="Times New Roman"/>
          <w:b/>
          <w:bCs/>
          <w:sz w:val="24"/>
          <w:szCs w:val="24"/>
          <w:lang w:eastAsia="en-GB"/>
        </w:rPr>
        <w:t>a serious procedural injustice</w:t>
      </w:r>
      <w:r w:rsidRPr="00A7152E">
        <w:rPr>
          <w:rFonts w:ascii="Times New Roman" w:eastAsia="Times New Roman" w:hAnsi="Times New Roman" w:cs="Times New Roman"/>
          <w:sz w:val="24"/>
          <w:szCs w:val="24"/>
          <w:lang w:eastAsia="en-GB"/>
        </w:rPr>
        <w:t>:</w:t>
      </w:r>
    </w:p>
    <w:p w:rsidR="006971CE" w:rsidRDefault="00A7152E" w:rsidP="006971CE">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6971CE">
        <w:rPr>
          <w:rFonts w:ascii="Times New Roman" w:eastAsia="Times New Roman" w:hAnsi="Times New Roman" w:cs="Times New Roman"/>
          <w:b/>
          <w:bCs/>
          <w:sz w:val="24"/>
          <w:szCs w:val="24"/>
          <w:lang w:eastAsia="en-GB"/>
        </w:rPr>
        <w:t>70%</w:t>
      </w:r>
      <w:r w:rsidRPr="006971CE">
        <w:rPr>
          <w:rFonts w:ascii="Times New Roman" w:eastAsia="Times New Roman" w:hAnsi="Times New Roman" w:cs="Times New Roman"/>
          <w:sz w:val="24"/>
          <w:szCs w:val="24"/>
          <w:lang w:eastAsia="en-GB"/>
        </w:rPr>
        <w:t xml:space="preserve"> were either not consulted or are unaware of any consultation process.</w:t>
      </w:r>
    </w:p>
    <w:p w:rsidR="006971CE" w:rsidRDefault="00A7152E" w:rsidP="006971CE">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6971CE">
        <w:rPr>
          <w:rFonts w:ascii="Times New Roman" w:eastAsia="Times New Roman" w:hAnsi="Times New Roman" w:cs="Times New Roman"/>
          <w:sz w:val="24"/>
          <w:szCs w:val="24"/>
          <w:lang w:eastAsia="en-GB"/>
        </w:rPr>
        <w:t xml:space="preserve">Only </w:t>
      </w:r>
      <w:r w:rsidRPr="006971CE">
        <w:rPr>
          <w:rFonts w:ascii="Times New Roman" w:eastAsia="Times New Roman" w:hAnsi="Times New Roman" w:cs="Times New Roman"/>
          <w:b/>
          <w:bCs/>
          <w:sz w:val="24"/>
          <w:szCs w:val="24"/>
          <w:lang w:eastAsia="en-GB"/>
        </w:rPr>
        <w:t>25%</w:t>
      </w:r>
      <w:r w:rsidRPr="006971CE">
        <w:rPr>
          <w:rFonts w:ascii="Times New Roman" w:eastAsia="Times New Roman" w:hAnsi="Times New Roman" w:cs="Times New Roman"/>
          <w:sz w:val="24"/>
          <w:szCs w:val="24"/>
          <w:lang w:eastAsia="en-GB"/>
        </w:rPr>
        <w:t xml:space="preserve"> of those who lost land received compensation.</w:t>
      </w:r>
    </w:p>
    <w:p w:rsidR="00A7152E" w:rsidRPr="006971CE" w:rsidRDefault="00A7152E" w:rsidP="006971CE">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lang w:eastAsia="en-GB"/>
        </w:rPr>
      </w:pPr>
      <w:r w:rsidRPr="006971CE">
        <w:rPr>
          <w:rFonts w:ascii="Times New Roman" w:eastAsia="Times New Roman" w:hAnsi="Times New Roman" w:cs="Times New Roman"/>
          <w:sz w:val="24"/>
          <w:szCs w:val="24"/>
          <w:lang w:eastAsia="en-GB"/>
        </w:rPr>
        <w:t>Compensation methods (cash, housing, replacement land) were inconsistent and unclear.</w:t>
      </w:r>
    </w:p>
    <w:p w:rsidR="00A7152E" w:rsidRPr="00A7152E" w:rsidRDefault="00A7152E" w:rsidP="00A7152E">
      <w:pPr>
        <w:spacing w:before="100" w:beforeAutospacing="1" w:after="100" w:afterAutospacing="1" w:line="240" w:lineRule="auto"/>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 xml:space="preserve">This violates international best practices (World Bank, 2022) and contradicts Ethiopia’s </w:t>
      </w:r>
      <w:proofErr w:type="gramStart"/>
      <w:r w:rsidRPr="00A7152E">
        <w:rPr>
          <w:rFonts w:ascii="Times New Roman" w:eastAsia="Times New Roman" w:hAnsi="Times New Roman" w:cs="Times New Roman"/>
          <w:sz w:val="24"/>
          <w:szCs w:val="24"/>
          <w:lang w:eastAsia="en-GB"/>
        </w:rPr>
        <w:t>expropriation</w:t>
      </w:r>
      <w:proofErr w:type="gramEnd"/>
      <w:r w:rsidRPr="00A7152E">
        <w:rPr>
          <w:rFonts w:ascii="Times New Roman" w:eastAsia="Times New Roman" w:hAnsi="Times New Roman" w:cs="Times New Roman"/>
          <w:sz w:val="24"/>
          <w:szCs w:val="24"/>
          <w:lang w:eastAsia="en-GB"/>
        </w:rPr>
        <w:t xml:space="preserve"> guidelines, which require transparency, consultation, and fair compensation.</w:t>
      </w:r>
    </w:p>
    <w:p w:rsidR="00A7152E" w:rsidRPr="00A7152E" w:rsidRDefault="00A7152E" w:rsidP="00A7152E">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6971CE">
        <w:rPr>
          <w:rFonts w:ascii="Times New Roman" w:eastAsia="Times New Roman" w:hAnsi="Times New Roman" w:cs="Times New Roman"/>
          <w:b/>
          <w:bCs/>
          <w:sz w:val="24"/>
          <w:szCs w:val="24"/>
          <w:lang w:eastAsia="en-GB"/>
        </w:rPr>
        <w:t>Qualitative insights</w:t>
      </w:r>
    </w:p>
    <w:p w:rsidR="00A7152E" w:rsidRPr="00A7152E" w:rsidRDefault="00A7152E" w:rsidP="00A7152E">
      <w:pPr>
        <w:spacing w:before="100" w:beforeAutospacing="1" w:after="100" w:afterAutospacing="1" w:line="240" w:lineRule="auto"/>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Respondents described:</w:t>
      </w:r>
    </w:p>
    <w:p w:rsidR="006971CE" w:rsidRPr="006971CE" w:rsidRDefault="00A7152E" w:rsidP="006971CE">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6971CE">
        <w:rPr>
          <w:rFonts w:ascii="Times New Roman" w:eastAsia="Times New Roman" w:hAnsi="Times New Roman" w:cs="Times New Roman"/>
          <w:i/>
          <w:iCs/>
          <w:sz w:val="24"/>
          <w:szCs w:val="24"/>
          <w:lang w:eastAsia="en-GB"/>
        </w:rPr>
        <w:t>“We were told after everything was decided.”</w:t>
      </w:r>
    </w:p>
    <w:p w:rsidR="006971CE" w:rsidRPr="006971CE" w:rsidRDefault="00A7152E" w:rsidP="006971CE">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6971CE">
        <w:rPr>
          <w:rFonts w:ascii="Times New Roman" w:eastAsia="Times New Roman" w:hAnsi="Times New Roman" w:cs="Times New Roman"/>
          <w:i/>
          <w:iCs/>
          <w:sz w:val="24"/>
          <w:szCs w:val="24"/>
          <w:lang w:eastAsia="en-GB"/>
        </w:rPr>
        <w:t>“The compensation is given according to their interest, not the real value.”</w:t>
      </w:r>
    </w:p>
    <w:p w:rsidR="00A7152E" w:rsidRPr="006971CE" w:rsidRDefault="00A7152E" w:rsidP="006971CE">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lang w:eastAsia="en-GB"/>
        </w:rPr>
      </w:pPr>
      <w:r w:rsidRPr="006971CE">
        <w:rPr>
          <w:rFonts w:ascii="Times New Roman" w:eastAsia="Times New Roman" w:hAnsi="Times New Roman" w:cs="Times New Roman"/>
          <w:i/>
          <w:iCs/>
          <w:sz w:val="24"/>
          <w:szCs w:val="24"/>
          <w:lang w:eastAsia="en-GB"/>
        </w:rPr>
        <w:t xml:space="preserve">“Some got payment; others got nothing with </w:t>
      </w:r>
      <w:proofErr w:type="gramStart"/>
      <w:r w:rsidRPr="006971CE">
        <w:rPr>
          <w:rFonts w:ascii="Times New Roman" w:eastAsia="Times New Roman" w:hAnsi="Times New Roman" w:cs="Times New Roman"/>
          <w:i/>
          <w:iCs/>
          <w:sz w:val="24"/>
          <w:szCs w:val="24"/>
          <w:lang w:eastAsia="en-GB"/>
        </w:rPr>
        <w:t>no</w:t>
      </w:r>
      <w:proofErr w:type="gramEnd"/>
      <w:r w:rsidRPr="006971CE">
        <w:rPr>
          <w:rFonts w:ascii="Times New Roman" w:eastAsia="Times New Roman" w:hAnsi="Times New Roman" w:cs="Times New Roman"/>
          <w:i/>
          <w:iCs/>
          <w:sz w:val="24"/>
          <w:szCs w:val="24"/>
          <w:lang w:eastAsia="en-GB"/>
        </w:rPr>
        <w:t xml:space="preserve"> explanation.”</w:t>
      </w:r>
    </w:p>
    <w:p w:rsidR="00A7152E" w:rsidRPr="00A7152E" w:rsidRDefault="00A7152E" w:rsidP="00A7152E">
      <w:pPr>
        <w:spacing w:before="100" w:beforeAutospacing="1" w:after="100" w:afterAutospacing="1" w:line="240" w:lineRule="auto"/>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These narratives reveal distrust, power imbalance, and perceptions of injustice—issues well-documented in dependency theory critiques of land governance.</w:t>
      </w:r>
    </w:p>
    <w:p w:rsidR="00A7152E" w:rsidRPr="00A7152E" w:rsidRDefault="00A7152E" w:rsidP="00A7152E">
      <w:pPr>
        <w:spacing w:after="0" w:line="240" w:lineRule="auto"/>
        <w:rPr>
          <w:rFonts w:ascii="Times New Roman" w:eastAsia="Times New Roman" w:hAnsi="Times New Roman" w:cs="Times New Roman"/>
          <w:sz w:val="24"/>
          <w:szCs w:val="24"/>
          <w:lang w:eastAsia="en-GB"/>
        </w:rPr>
      </w:pPr>
    </w:p>
    <w:p w:rsidR="00A7152E" w:rsidRPr="00A7152E" w:rsidRDefault="00A7152E" w:rsidP="00A7152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GB"/>
        </w:rPr>
      </w:pPr>
      <w:r w:rsidRPr="006971CE">
        <w:rPr>
          <w:rFonts w:ascii="Times New Roman" w:eastAsia="Times New Roman" w:hAnsi="Times New Roman" w:cs="Times New Roman"/>
          <w:b/>
          <w:bCs/>
          <w:kern w:val="36"/>
          <w:sz w:val="24"/>
          <w:szCs w:val="24"/>
          <w:lang w:eastAsia="en-GB"/>
        </w:rPr>
        <w:t>4.4 Socio-Economic and Livelihood Impacts (Specific Objective 3)</w:t>
      </w:r>
    </w:p>
    <w:p w:rsidR="00A7152E" w:rsidRPr="00A7152E" w:rsidRDefault="00A7152E" w:rsidP="00A7152E">
      <w:pPr>
        <w:spacing w:before="100" w:beforeAutospacing="1" w:after="100" w:afterAutospacing="1" w:line="240" w:lineRule="auto"/>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Urban expansion reshapes the ability of households to sustain their livelihoods. The findings reveal more negative effects than positive ones.</w:t>
      </w:r>
    </w:p>
    <w:p w:rsidR="006971CE" w:rsidRDefault="00A7152E" w:rsidP="00A7152E">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6971CE">
        <w:rPr>
          <w:rFonts w:ascii="Times New Roman" w:eastAsia="Times New Roman" w:hAnsi="Times New Roman" w:cs="Times New Roman"/>
          <w:b/>
          <w:bCs/>
          <w:sz w:val="24"/>
          <w:szCs w:val="24"/>
          <w:lang w:eastAsia="en-GB"/>
        </w:rPr>
        <w:t>4.4.1 Income Change</w:t>
      </w:r>
    </w:p>
    <w:p w:rsidR="00A7152E" w:rsidRPr="00A7152E" w:rsidRDefault="00A7152E" w:rsidP="00A7152E">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6971CE">
        <w:rPr>
          <w:rFonts w:ascii="Times New Roman" w:eastAsia="Times New Roman" w:hAnsi="Times New Roman" w:cs="Times New Roman"/>
          <w:b/>
          <w:bCs/>
          <w:sz w:val="24"/>
          <w:szCs w:val="24"/>
          <w:lang w:eastAsia="en-GB"/>
        </w:rPr>
        <w:t>Table 4.5 Change in Income Levels</w:t>
      </w:r>
    </w:p>
    <w:tbl>
      <w:tblPr>
        <w:tblStyle w:val="TableGrid"/>
        <w:tblW w:w="0" w:type="auto"/>
        <w:tblInd w:w="0"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3960"/>
        <w:gridCol w:w="1575"/>
        <w:gridCol w:w="1515"/>
        <w:gridCol w:w="1935"/>
      </w:tblGrid>
      <w:tr w:rsidR="006971CE" w:rsidRPr="006971CE" w:rsidTr="006971CE">
        <w:trPr>
          <w:trHeight w:val="300"/>
        </w:trPr>
        <w:tc>
          <w:tcPr>
            <w:tcW w:w="3960" w:type="dxa"/>
            <w:tcBorders>
              <w:top w:val="single" w:sz="6" w:space="0" w:color="auto"/>
              <w:left w:val="single" w:sz="6" w:space="0" w:color="auto"/>
              <w:bottom w:val="single" w:sz="4" w:space="0" w:color="000000" w:themeColor="text1"/>
              <w:right w:val="single" w:sz="4" w:space="0" w:color="000000" w:themeColor="text1"/>
            </w:tcBorders>
            <w:tcMar>
              <w:top w:w="0" w:type="dxa"/>
              <w:left w:w="105" w:type="dxa"/>
              <w:bottom w:w="0" w:type="dxa"/>
              <w:right w:w="105" w:type="dxa"/>
            </w:tcMar>
            <w:hideMark/>
          </w:tcPr>
          <w:p w:rsidR="006971CE" w:rsidRPr="006971CE" w:rsidRDefault="006971CE">
            <w:pPr>
              <w:rPr>
                <w:rFonts w:eastAsia="Calibri"/>
                <w:color w:val="000000" w:themeColor="text1"/>
                <w:sz w:val="24"/>
                <w:szCs w:val="24"/>
                <w:lang w:eastAsia="ja-JP"/>
              </w:rPr>
            </w:pPr>
            <w:r w:rsidRPr="006971CE">
              <w:rPr>
                <w:rFonts w:eastAsia="Calibri"/>
                <w:color w:val="000000" w:themeColor="text1"/>
              </w:rPr>
              <w:t xml:space="preserve">Outcome </w:t>
            </w:r>
          </w:p>
        </w:tc>
        <w:tc>
          <w:tcPr>
            <w:tcW w:w="1575" w:type="dxa"/>
            <w:tcBorders>
              <w:top w:val="single" w:sz="6"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rsidR="006971CE" w:rsidRPr="006971CE" w:rsidRDefault="006971CE">
            <w:pPr>
              <w:rPr>
                <w:rFonts w:eastAsia="Calibri"/>
                <w:color w:val="000000" w:themeColor="text1"/>
                <w:sz w:val="24"/>
                <w:szCs w:val="24"/>
                <w:lang w:eastAsia="ja-JP"/>
              </w:rPr>
            </w:pPr>
            <w:r w:rsidRPr="006971CE">
              <w:rPr>
                <w:rFonts w:eastAsia="Calibri"/>
                <w:color w:val="000000" w:themeColor="text1"/>
              </w:rPr>
              <w:t xml:space="preserve">Increased </w:t>
            </w:r>
          </w:p>
        </w:tc>
        <w:tc>
          <w:tcPr>
            <w:tcW w:w="1515" w:type="dxa"/>
            <w:tcBorders>
              <w:top w:val="single" w:sz="6"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rsidR="006971CE" w:rsidRPr="006971CE" w:rsidRDefault="006971CE">
            <w:pPr>
              <w:rPr>
                <w:rFonts w:eastAsia="Calibri"/>
                <w:color w:val="000000" w:themeColor="text1"/>
                <w:sz w:val="24"/>
                <w:szCs w:val="24"/>
                <w:lang w:eastAsia="ja-JP"/>
              </w:rPr>
            </w:pPr>
            <w:r w:rsidRPr="006971CE">
              <w:rPr>
                <w:rFonts w:eastAsia="Calibri"/>
                <w:color w:val="000000" w:themeColor="text1"/>
              </w:rPr>
              <w:t>decreased</w:t>
            </w:r>
          </w:p>
        </w:tc>
        <w:tc>
          <w:tcPr>
            <w:tcW w:w="1935" w:type="dxa"/>
            <w:tcBorders>
              <w:top w:val="single" w:sz="6" w:space="0" w:color="auto"/>
              <w:left w:val="single" w:sz="4" w:space="0" w:color="000000" w:themeColor="text1"/>
              <w:bottom w:val="single" w:sz="4" w:space="0" w:color="000000" w:themeColor="text1"/>
              <w:right w:val="single" w:sz="6" w:space="0" w:color="auto"/>
            </w:tcBorders>
            <w:tcMar>
              <w:top w:w="0" w:type="dxa"/>
              <w:left w:w="105" w:type="dxa"/>
              <w:bottom w:w="0" w:type="dxa"/>
              <w:right w:w="105" w:type="dxa"/>
            </w:tcMar>
            <w:hideMark/>
          </w:tcPr>
          <w:p w:rsidR="006971CE" w:rsidRPr="006971CE" w:rsidRDefault="006971CE">
            <w:pPr>
              <w:rPr>
                <w:rFonts w:eastAsia="Calibri"/>
                <w:color w:val="000000" w:themeColor="text1"/>
                <w:sz w:val="24"/>
                <w:szCs w:val="24"/>
                <w:lang w:eastAsia="ja-JP"/>
              </w:rPr>
            </w:pPr>
            <w:r w:rsidRPr="006971CE">
              <w:rPr>
                <w:rFonts w:eastAsia="Calibri"/>
                <w:color w:val="000000" w:themeColor="text1"/>
              </w:rPr>
              <w:t xml:space="preserve">No change </w:t>
            </w:r>
          </w:p>
        </w:tc>
      </w:tr>
      <w:tr w:rsidR="006971CE" w:rsidRPr="006971CE" w:rsidTr="006971CE">
        <w:trPr>
          <w:trHeight w:val="300"/>
        </w:trPr>
        <w:tc>
          <w:tcPr>
            <w:tcW w:w="3960" w:type="dxa"/>
            <w:tcBorders>
              <w:top w:val="single" w:sz="4" w:space="0" w:color="000000" w:themeColor="text1"/>
              <w:left w:val="single" w:sz="6"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rsidR="006971CE" w:rsidRPr="006971CE" w:rsidRDefault="006971CE">
            <w:pPr>
              <w:rPr>
                <w:rFonts w:eastAsia="Calibri"/>
                <w:color w:val="000000" w:themeColor="text1"/>
                <w:sz w:val="24"/>
                <w:szCs w:val="24"/>
                <w:lang w:eastAsia="ja-JP"/>
              </w:rPr>
            </w:pPr>
            <w:r w:rsidRPr="006971CE">
              <w:rPr>
                <w:rFonts w:eastAsia="Calibri"/>
                <w:color w:val="000000" w:themeColor="text1"/>
              </w:rPr>
              <w:t>Income change (sec C, Q3)</w:t>
            </w:r>
          </w:p>
        </w:tc>
        <w:tc>
          <w:tcPr>
            <w:tcW w:w="15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rsidR="006971CE" w:rsidRPr="006971CE" w:rsidRDefault="006971CE">
            <w:pPr>
              <w:rPr>
                <w:rFonts w:eastAsia="Calibri"/>
                <w:color w:val="000000" w:themeColor="text1"/>
                <w:sz w:val="24"/>
                <w:szCs w:val="24"/>
                <w:lang w:eastAsia="ja-JP"/>
              </w:rPr>
            </w:pPr>
            <w:r w:rsidRPr="006971CE">
              <w:rPr>
                <w:rFonts w:eastAsia="Calibri"/>
                <w:color w:val="000000" w:themeColor="text1"/>
              </w:rPr>
              <w:t>15(15.2%)</w:t>
            </w:r>
          </w:p>
        </w:tc>
        <w:tc>
          <w:tcPr>
            <w:tcW w:w="151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0" w:type="dxa"/>
              <w:left w:w="105" w:type="dxa"/>
              <w:bottom w:w="0" w:type="dxa"/>
              <w:right w:w="105" w:type="dxa"/>
            </w:tcMar>
            <w:hideMark/>
          </w:tcPr>
          <w:p w:rsidR="006971CE" w:rsidRPr="006971CE" w:rsidRDefault="006971CE">
            <w:pPr>
              <w:rPr>
                <w:rFonts w:eastAsia="Calibri"/>
                <w:color w:val="000000" w:themeColor="text1"/>
                <w:sz w:val="24"/>
                <w:szCs w:val="24"/>
                <w:lang w:eastAsia="ja-JP"/>
              </w:rPr>
            </w:pPr>
            <w:r w:rsidRPr="006971CE">
              <w:rPr>
                <w:rFonts w:eastAsia="Calibri"/>
                <w:color w:val="000000" w:themeColor="text1"/>
              </w:rPr>
              <w:t>59(59.6%)</w:t>
            </w:r>
          </w:p>
        </w:tc>
        <w:tc>
          <w:tcPr>
            <w:tcW w:w="1935" w:type="dxa"/>
            <w:tcBorders>
              <w:top w:val="single" w:sz="4" w:space="0" w:color="000000" w:themeColor="text1"/>
              <w:left w:val="single" w:sz="4" w:space="0" w:color="000000" w:themeColor="text1"/>
              <w:bottom w:val="single" w:sz="4" w:space="0" w:color="000000" w:themeColor="text1"/>
              <w:right w:val="single" w:sz="6" w:space="0" w:color="000000" w:themeColor="text1"/>
            </w:tcBorders>
            <w:tcMar>
              <w:top w:w="0" w:type="dxa"/>
              <w:left w:w="105" w:type="dxa"/>
              <w:bottom w:w="0" w:type="dxa"/>
              <w:right w:w="105" w:type="dxa"/>
            </w:tcMar>
            <w:hideMark/>
          </w:tcPr>
          <w:p w:rsidR="006971CE" w:rsidRPr="006971CE" w:rsidRDefault="006971CE">
            <w:pPr>
              <w:rPr>
                <w:rFonts w:eastAsia="Calibri"/>
                <w:color w:val="000000" w:themeColor="text1"/>
                <w:sz w:val="24"/>
                <w:szCs w:val="24"/>
                <w:lang w:eastAsia="ja-JP"/>
              </w:rPr>
            </w:pPr>
            <w:r w:rsidRPr="006971CE">
              <w:rPr>
                <w:rFonts w:eastAsia="Calibri"/>
                <w:color w:val="000000" w:themeColor="text1"/>
              </w:rPr>
              <w:t>25(25.3%)</w:t>
            </w:r>
          </w:p>
        </w:tc>
      </w:tr>
      <w:tr w:rsidR="006971CE" w:rsidRPr="006971CE" w:rsidTr="006971CE">
        <w:trPr>
          <w:trHeight w:val="300"/>
        </w:trPr>
        <w:tc>
          <w:tcPr>
            <w:tcW w:w="3960" w:type="dxa"/>
            <w:tcBorders>
              <w:top w:val="single" w:sz="4" w:space="0" w:color="000000" w:themeColor="text1"/>
              <w:left w:val="single" w:sz="6" w:space="0" w:color="auto"/>
              <w:bottom w:val="single" w:sz="6" w:space="0" w:color="auto"/>
              <w:right w:val="single" w:sz="4" w:space="0" w:color="000000" w:themeColor="text1"/>
            </w:tcBorders>
            <w:tcMar>
              <w:top w:w="0" w:type="dxa"/>
              <w:left w:w="105" w:type="dxa"/>
              <w:bottom w:w="0" w:type="dxa"/>
              <w:right w:w="105" w:type="dxa"/>
            </w:tcMar>
            <w:hideMark/>
          </w:tcPr>
          <w:p w:rsidR="006971CE" w:rsidRPr="006971CE" w:rsidRDefault="006971CE">
            <w:pPr>
              <w:rPr>
                <w:rFonts w:eastAsia="Calibri"/>
                <w:color w:val="000000" w:themeColor="text1"/>
                <w:sz w:val="24"/>
                <w:szCs w:val="24"/>
                <w:lang w:eastAsia="ja-JP"/>
              </w:rPr>
            </w:pPr>
            <w:r w:rsidRPr="006971CE">
              <w:rPr>
                <w:rFonts w:eastAsia="Calibri"/>
                <w:color w:val="000000" w:themeColor="text1"/>
              </w:rPr>
              <w:t>Social relation change (sec C, Q4)</w:t>
            </w:r>
          </w:p>
        </w:tc>
        <w:tc>
          <w:tcPr>
            <w:tcW w:w="1575" w:type="dxa"/>
            <w:tcBorders>
              <w:top w:val="single" w:sz="4" w:space="0" w:color="000000" w:themeColor="text1"/>
              <w:left w:val="single" w:sz="4" w:space="0" w:color="000000" w:themeColor="text1"/>
              <w:bottom w:val="single" w:sz="6" w:space="0" w:color="000000" w:themeColor="text1"/>
              <w:right w:val="single" w:sz="4" w:space="0" w:color="000000" w:themeColor="text1"/>
            </w:tcBorders>
            <w:tcMar>
              <w:top w:w="0" w:type="dxa"/>
              <w:left w:w="105" w:type="dxa"/>
              <w:bottom w:w="0" w:type="dxa"/>
              <w:right w:w="105" w:type="dxa"/>
            </w:tcMar>
            <w:hideMark/>
          </w:tcPr>
          <w:p w:rsidR="006971CE" w:rsidRPr="006971CE" w:rsidRDefault="006971CE">
            <w:pPr>
              <w:rPr>
                <w:rFonts w:eastAsia="Calibri"/>
                <w:color w:val="000000" w:themeColor="text1"/>
                <w:sz w:val="24"/>
                <w:szCs w:val="24"/>
                <w:lang w:eastAsia="ja-JP"/>
              </w:rPr>
            </w:pPr>
            <w:r w:rsidRPr="006971CE">
              <w:rPr>
                <w:rFonts w:eastAsia="Calibri"/>
                <w:color w:val="000000" w:themeColor="text1"/>
              </w:rPr>
              <w:t>10(10.1%)</w:t>
            </w:r>
          </w:p>
        </w:tc>
        <w:tc>
          <w:tcPr>
            <w:tcW w:w="1515" w:type="dxa"/>
            <w:tcBorders>
              <w:top w:val="single" w:sz="4" w:space="0" w:color="000000" w:themeColor="text1"/>
              <w:left w:val="single" w:sz="4" w:space="0" w:color="000000" w:themeColor="text1"/>
              <w:bottom w:val="single" w:sz="6" w:space="0" w:color="000000" w:themeColor="text1"/>
              <w:right w:val="single" w:sz="4" w:space="0" w:color="000000" w:themeColor="text1"/>
            </w:tcBorders>
            <w:tcMar>
              <w:top w:w="0" w:type="dxa"/>
              <w:left w:w="105" w:type="dxa"/>
              <w:bottom w:w="0" w:type="dxa"/>
              <w:right w:w="105" w:type="dxa"/>
            </w:tcMar>
            <w:hideMark/>
          </w:tcPr>
          <w:p w:rsidR="006971CE" w:rsidRPr="006971CE" w:rsidRDefault="006971CE">
            <w:pPr>
              <w:rPr>
                <w:rFonts w:eastAsia="Calibri"/>
                <w:color w:val="000000" w:themeColor="text1"/>
                <w:sz w:val="24"/>
                <w:szCs w:val="24"/>
                <w:lang w:eastAsia="ja-JP"/>
              </w:rPr>
            </w:pPr>
            <w:r w:rsidRPr="006971CE">
              <w:rPr>
                <w:rFonts w:eastAsia="Calibri"/>
                <w:color w:val="000000" w:themeColor="text1"/>
              </w:rPr>
              <w:t>69(69.7%)</w:t>
            </w:r>
          </w:p>
        </w:tc>
        <w:tc>
          <w:tcPr>
            <w:tcW w:w="1935" w:type="dxa"/>
            <w:tcBorders>
              <w:top w:val="single" w:sz="4" w:space="0" w:color="000000" w:themeColor="text1"/>
              <w:left w:val="single" w:sz="4" w:space="0" w:color="000000" w:themeColor="text1"/>
              <w:bottom w:val="single" w:sz="6" w:space="0" w:color="auto"/>
              <w:right w:val="single" w:sz="6" w:space="0" w:color="auto"/>
            </w:tcBorders>
            <w:tcMar>
              <w:top w:w="0" w:type="dxa"/>
              <w:left w:w="105" w:type="dxa"/>
              <w:bottom w:w="0" w:type="dxa"/>
              <w:right w:w="105" w:type="dxa"/>
            </w:tcMar>
            <w:hideMark/>
          </w:tcPr>
          <w:p w:rsidR="006971CE" w:rsidRPr="006971CE" w:rsidRDefault="006971CE">
            <w:pPr>
              <w:rPr>
                <w:rFonts w:eastAsia="Calibri"/>
                <w:color w:val="000000" w:themeColor="text1"/>
                <w:sz w:val="24"/>
                <w:szCs w:val="24"/>
                <w:lang w:eastAsia="ja-JP"/>
              </w:rPr>
            </w:pPr>
            <w:r w:rsidRPr="006971CE">
              <w:rPr>
                <w:rFonts w:eastAsia="Calibri"/>
                <w:color w:val="000000" w:themeColor="text1"/>
              </w:rPr>
              <w:t>20(20.2%)</w:t>
            </w:r>
          </w:p>
        </w:tc>
      </w:tr>
    </w:tbl>
    <w:p w:rsidR="00A7152E" w:rsidRPr="00A7152E" w:rsidRDefault="00A7152E" w:rsidP="00A7152E">
      <w:pPr>
        <w:spacing w:before="100" w:beforeAutospacing="1" w:after="100" w:afterAutospacing="1" w:line="240" w:lineRule="auto"/>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 xml:space="preserve">Nearly </w:t>
      </w:r>
      <w:r w:rsidRPr="006971CE">
        <w:rPr>
          <w:rFonts w:ascii="Times New Roman" w:eastAsia="Times New Roman" w:hAnsi="Times New Roman" w:cs="Times New Roman"/>
          <w:b/>
          <w:bCs/>
          <w:sz w:val="24"/>
          <w:szCs w:val="24"/>
          <w:lang w:eastAsia="en-GB"/>
        </w:rPr>
        <w:t>60%</w:t>
      </w:r>
      <w:r w:rsidRPr="00A7152E">
        <w:rPr>
          <w:rFonts w:ascii="Times New Roman" w:eastAsia="Times New Roman" w:hAnsi="Times New Roman" w:cs="Times New Roman"/>
          <w:sz w:val="24"/>
          <w:szCs w:val="24"/>
          <w:lang w:eastAsia="en-GB"/>
        </w:rPr>
        <w:t xml:space="preserve"> reported decreased income. This shows that the shift from agriculture to wage </w:t>
      </w:r>
      <w:proofErr w:type="spellStart"/>
      <w:r w:rsidRPr="00A7152E">
        <w:rPr>
          <w:rFonts w:ascii="Times New Roman" w:eastAsia="Times New Roman" w:hAnsi="Times New Roman" w:cs="Times New Roman"/>
          <w:sz w:val="24"/>
          <w:szCs w:val="24"/>
          <w:lang w:eastAsia="en-GB"/>
        </w:rPr>
        <w:t>labor</w:t>
      </w:r>
      <w:proofErr w:type="spellEnd"/>
      <w:r w:rsidRPr="00A7152E">
        <w:rPr>
          <w:rFonts w:ascii="Times New Roman" w:eastAsia="Times New Roman" w:hAnsi="Times New Roman" w:cs="Times New Roman"/>
          <w:sz w:val="24"/>
          <w:szCs w:val="24"/>
          <w:lang w:eastAsia="en-GB"/>
        </w:rPr>
        <w:t xml:space="preserve"> does not necessarily improve livelihoods.</w:t>
      </w:r>
    </w:p>
    <w:p w:rsidR="00A7152E" w:rsidRPr="00A7152E" w:rsidRDefault="00A7152E" w:rsidP="00A7152E">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6971CE">
        <w:rPr>
          <w:rFonts w:ascii="Times New Roman" w:eastAsia="Times New Roman" w:hAnsi="Times New Roman" w:cs="Times New Roman"/>
          <w:b/>
          <w:bCs/>
          <w:sz w:val="24"/>
          <w:szCs w:val="24"/>
          <w:lang w:eastAsia="en-GB"/>
        </w:rPr>
        <w:t>4.4.2 Social Capital and Community Relations</w:t>
      </w:r>
    </w:p>
    <w:p w:rsidR="00A7152E" w:rsidRPr="00A7152E" w:rsidRDefault="00A7152E" w:rsidP="00A7152E">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6971CE">
        <w:rPr>
          <w:rFonts w:ascii="Times New Roman" w:eastAsia="Times New Roman" w:hAnsi="Times New Roman" w:cs="Times New Roman"/>
          <w:b/>
          <w:bCs/>
          <w:sz w:val="24"/>
          <w:szCs w:val="24"/>
          <w:lang w:eastAsia="en-GB"/>
        </w:rPr>
        <w:t>Table 4.6 Change in Social Relations</w:t>
      </w:r>
    </w:p>
    <w:tbl>
      <w:tblPr>
        <w:tblStyle w:val="LightShading"/>
        <w:tblW w:w="0" w:type="auto"/>
        <w:tblLook w:val="04A0" w:firstRow="1" w:lastRow="0" w:firstColumn="1" w:lastColumn="0" w:noHBand="0" w:noVBand="1"/>
      </w:tblPr>
      <w:tblGrid>
        <w:gridCol w:w="1783"/>
        <w:gridCol w:w="1310"/>
        <w:gridCol w:w="1349"/>
      </w:tblGrid>
      <w:tr w:rsidR="00A7152E" w:rsidRPr="00A7152E" w:rsidTr="006971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7152E" w:rsidRPr="00A7152E" w:rsidRDefault="00A7152E" w:rsidP="00A7152E">
            <w:pPr>
              <w:jc w:val="center"/>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Social relations</w:t>
            </w:r>
          </w:p>
        </w:tc>
        <w:tc>
          <w:tcPr>
            <w:tcW w:w="0" w:type="auto"/>
            <w:hideMark/>
          </w:tcPr>
          <w:p w:rsidR="00A7152E" w:rsidRPr="00A7152E" w:rsidRDefault="00A7152E" w:rsidP="00A7152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Frequency</w:t>
            </w:r>
          </w:p>
        </w:tc>
        <w:tc>
          <w:tcPr>
            <w:tcW w:w="0" w:type="auto"/>
            <w:hideMark/>
          </w:tcPr>
          <w:p w:rsidR="00A7152E" w:rsidRPr="00A7152E" w:rsidRDefault="00A7152E" w:rsidP="00A7152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Percentage</w:t>
            </w:r>
          </w:p>
        </w:tc>
      </w:tr>
      <w:tr w:rsidR="00A7152E" w:rsidRPr="00A7152E" w:rsidTr="00697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7152E" w:rsidRPr="00A7152E" w:rsidRDefault="00A7152E" w:rsidP="00A7152E">
            <w:pPr>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Improved</w:t>
            </w:r>
          </w:p>
        </w:tc>
        <w:tc>
          <w:tcPr>
            <w:tcW w:w="0" w:type="auto"/>
            <w:hideMark/>
          </w:tcPr>
          <w:p w:rsidR="00A7152E" w:rsidRPr="00A7152E" w:rsidRDefault="00A7152E" w:rsidP="00A715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10</w:t>
            </w:r>
          </w:p>
        </w:tc>
        <w:tc>
          <w:tcPr>
            <w:tcW w:w="0" w:type="auto"/>
            <w:hideMark/>
          </w:tcPr>
          <w:p w:rsidR="00A7152E" w:rsidRPr="00A7152E" w:rsidRDefault="00A7152E" w:rsidP="00A715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10.1%</w:t>
            </w:r>
          </w:p>
        </w:tc>
      </w:tr>
      <w:tr w:rsidR="00A7152E" w:rsidRPr="00A7152E" w:rsidTr="006971CE">
        <w:tc>
          <w:tcPr>
            <w:cnfStyle w:val="001000000000" w:firstRow="0" w:lastRow="0" w:firstColumn="1" w:lastColumn="0" w:oddVBand="0" w:evenVBand="0" w:oddHBand="0" w:evenHBand="0" w:firstRowFirstColumn="0" w:firstRowLastColumn="0" w:lastRowFirstColumn="0" w:lastRowLastColumn="0"/>
            <w:tcW w:w="0" w:type="auto"/>
            <w:hideMark/>
          </w:tcPr>
          <w:p w:rsidR="00A7152E" w:rsidRPr="00A7152E" w:rsidRDefault="00A7152E" w:rsidP="00A7152E">
            <w:pPr>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Weakened</w:t>
            </w:r>
          </w:p>
        </w:tc>
        <w:tc>
          <w:tcPr>
            <w:tcW w:w="0" w:type="auto"/>
            <w:hideMark/>
          </w:tcPr>
          <w:p w:rsidR="00A7152E" w:rsidRPr="00A7152E" w:rsidRDefault="00A7152E" w:rsidP="00A715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69</w:t>
            </w:r>
          </w:p>
        </w:tc>
        <w:tc>
          <w:tcPr>
            <w:tcW w:w="0" w:type="auto"/>
            <w:hideMark/>
          </w:tcPr>
          <w:p w:rsidR="00A7152E" w:rsidRPr="00A7152E" w:rsidRDefault="00A7152E" w:rsidP="00A715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69.7%</w:t>
            </w:r>
          </w:p>
        </w:tc>
      </w:tr>
      <w:tr w:rsidR="00A7152E" w:rsidRPr="00A7152E" w:rsidTr="00697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7152E" w:rsidRPr="00A7152E" w:rsidRDefault="00A7152E" w:rsidP="00A7152E">
            <w:pPr>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No change</w:t>
            </w:r>
          </w:p>
        </w:tc>
        <w:tc>
          <w:tcPr>
            <w:tcW w:w="0" w:type="auto"/>
            <w:hideMark/>
          </w:tcPr>
          <w:p w:rsidR="00A7152E" w:rsidRPr="00A7152E" w:rsidRDefault="00A7152E" w:rsidP="00A715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20</w:t>
            </w:r>
          </w:p>
        </w:tc>
        <w:tc>
          <w:tcPr>
            <w:tcW w:w="0" w:type="auto"/>
            <w:hideMark/>
          </w:tcPr>
          <w:p w:rsidR="00A7152E" w:rsidRPr="00A7152E" w:rsidRDefault="00A7152E" w:rsidP="00A715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20.2%</w:t>
            </w:r>
          </w:p>
        </w:tc>
      </w:tr>
    </w:tbl>
    <w:p w:rsidR="00A7152E" w:rsidRPr="00A7152E" w:rsidRDefault="00A7152E" w:rsidP="00A7152E">
      <w:pPr>
        <w:spacing w:before="100" w:beforeAutospacing="1" w:after="100" w:afterAutospacing="1" w:line="240" w:lineRule="auto"/>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lastRenderedPageBreak/>
        <w:t>The weakening of social relations is one of the most severe consequences. Traditional networks of mutual support—vital for rural resilience—break down as communities fragment, relocate, or lose shared identity.</w:t>
      </w:r>
    </w:p>
    <w:p w:rsidR="00A7152E" w:rsidRPr="00A7152E" w:rsidRDefault="00A7152E" w:rsidP="00A7152E">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6971CE">
        <w:rPr>
          <w:rFonts w:ascii="Times New Roman" w:eastAsia="Times New Roman" w:hAnsi="Times New Roman" w:cs="Times New Roman"/>
          <w:b/>
          <w:bCs/>
          <w:sz w:val="24"/>
          <w:szCs w:val="24"/>
          <w:lang w:eastAsia="en-GB"/>
        </w:rPr>
        <w:t>4.4.3 Rising Cost of Living</w:t>
      </w:r>
    </w:p>
    <w:p w:rsidR="00A7152E" w:rsidRPr="00A7152E" w:rsidRDefault="00A7152E" w:rsidP="00A7152E">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6971CE">
        <w:rPr>
          <w:rFonts w:ascii="Times New Roman" w:eastAsia="Times New Roman" w:hAnsi="Times New Roman" w:cs="Times New Roman"/>
          <w:b/>
          <w:bCs/>
          <w:sz w:val="24"/>
          <w:szCs w:val="24"/>
          <w:lang w:eastAsia="en-GB"/>
        </w:rPr>
        <w:t>Table 4.7 Most Frequently Reported Negative Effects</w:t>
      </w:r>
    </w:p>
    <w:tbl>
      <w:tblPr>
        <w:tblStyle w:val="LightShading"/>
        <w:tblW w:w="0" w:type="auto"/>
        <w:tblLook w:val="04A0" w:firstRow="1" w:lastRow="0" w:firstColumn="1" w:lastColumn="0" w:noHBand="0" w:noVBand="1"/>
      </w:tblPr>
      <w:tblGrid>
        <w:gridCol w:w="3263"/>
        <w:gridCol w:w="1310"/>
        <w:gridCol w:w="1349"/>
      </w:tblGrid>
      <w:tr w:rsidR="00A7152E" w:rsidRPr="00A7152E" w:rsidTr="006971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7152E" w:rsidRPr="00A7152E" w:rsidRDefault="00A7152E" w:rsidP="00A7152E">
            <w:pPr>
              <w:jc w:val="center"/>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Negative effect</w:t>
            </w:r>
          </w:p>
        </w:tc>
        <w:tc>
          <w:tcPr>
            <w:tcW w:w="0" w:type="auto"/>
            <w:hideMark/>
          </w:tcPr>
          <w:p w:rsidR="00A7152E" w:rsidRPr="00A7152E" w:rsidRDefault="00A7152E" w:rsidP="00A7152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Frequency</w:t>
            </w:r>
          </w:p>
        </w:tc>
        <w:tc>
          <w:tcPr>
            <w:tcW w:w="0" w:type="auto"/>
            <w:hideMark/>
          </w:tcPr>
          <w:p w:rsidR="00A7152E" w:rsidRPr="00A7152E" w:rsidRDefault="00A7152E" w:rsidP="00A7152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Percentage</w:t>
            </w:r>
          </w:p>
        </w:tc>
      </w:tr>
      <w:tr w:rsidR="00A7152E" w:rsidRPr="00A7152E" w:rsidTr="00697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7152E" w:rsidRPr="00A7152E" w:rsidRDefault="00A7152E" w:rsidP="00A7152E">
            <w:pPr>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Increased cost of living</w:t>
            </w:r>
          </w:p>
        </w:tc>
        <w:tc>
          <w:tcPr>
            <w:tcW w:w="0" w:type="auto"/>
            <w:hideMark/>
          </w:tcPr>
          <w:p w:rsidR="00A7152E" w:rsidRPr="00A7152E" w:rsidRDefault="00A7152E" w:rsidP="00A715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64</w:t>
            </w:r>
          </w:p>
        </w:tc>
        <w:tc>
          <w:tcPr>
            <w:tcW w:w="0" w:type="auto"/>
            <w:hideMark/>
          </w:tcPr>
          <w:p w:rsidR="00A7152E" w:rsidRPr="00A7152E" w:rsidRDefault="00A7152E" w:rsidP="00A715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64.6%</w:t>
            </w:r>
          </w:p>
        </w:tc>
      </w:tr>
      <w:tr w:rsidR="00A7152E" w:rsidRPr="00A7152E" w:rsidTr="006971CE">
        <w:tc>
          <w:tcPr>
            <w:cnfStyle w:val="001000000000" w:firstRow="0" w:lastRow="0" w:firstColumn="1" w:lastColumn="0" w:oddVBand="0" w:evenVBand="0" w:oddHBand="0" w:evenHBand="0" w:firstRowFirstColumn="0" w:firstRowLastColumn="0" w:lastRowFirstColumn="0" w:lastRowLastColumn="0"/>
            <w:tcW w:w="0" w:type="auto"/>
            <w:hideMark/>
          </w:tcPr>
          <w:p w:rsidR="00A7152E" w:rsidRPr="00A7152E" w:rsidRDefault="00A7152E" w:rsidP="00A7152E">
            <w:pPr>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Loss of farmland</w:t>
            </w:r>
          </w:p>
        </w:tc>
        <w:tc>
          <w:tcPr>
            <w:tcW w:w="0" w:type="auto"/>
            <w:hideMark/>
          </w:tcPr>
          <w:p w:rsidR="00A7152E" w:rsidRPr="00A7152E" w:rsidRDefault="00A7152E" w:rsidP="00A715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25</w:t>
            </w:r>
          </w:p>
        </w:tc>
        <w:tc>
          <w:tcPr>
            <w:tcW w:w="0" w:type="auto"/>
            <w:hideMark/>
          </w:tcPr>
          <w:p w:rsidR="00A7152E" w:rsidRPr="00A7152E" w:rsidRDefault="00A7152E" w:rsidP="00A715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25.3%</w:t>
            </w:r>
          </w:p>
        </w:tc>
      </w:tr>
      <w:tr w:rsidR="00A7152E" w:rsidRPr="00A7152E" w:rsidTr="00697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7152E" w:rsidRPr="00A7152E" w:rsidRDefault="00A7152E" w:rsidP="00A7152E">
            <w:pPr>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Weakening of social relations</w:t>
            </w:r>
          </w:p>
        </w:tc>
        <w:tc>
          <w:tcPr>
            <w:tcW w:w="0" w:type="auto"/>
            <w:hideMark/>
          </w:tcPr>
          <w:p w:rsidR="00A7152E" w:rsidRPr="00A7152E" w:rsidRDefault="00A7152E" w:rsidP="00A715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20</w:t>
            </w:r>
          </w:p>
        </w:tc>
        <w:tc>
          <w:tcPr>
            <w:tcW w:w="0" w:type="auto"/>
            <w:hideMark/>
          </w:tcPr>
          <w:p w:rsidR="00A7152E" w:rsidRPr="00A7152E" w:rsidRDefault="00A7152E" w:rsidP="00A715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20.2%</w:t>
            </w:r>
          </w:p>
        </w:tc>
      </w:tr>
      <w:tr w:rsidR="00A7152E" w:rsidRPr="00A7152E" w:rsidTr="006971CE">
        <w:tc>
          <w:tcPr>
            <w:cnfStyle w:val="001000000000" w:firstRow="0" w:lastRow="0" w:firstColumn="1" w:lastColumn="0" w:oddVBand="0" w:evenVBand="0" w:oddHBand="0" w:evenHBand="0" w:firstRowFirstColumn="0" w:firstRowLastColumn="0" w:lastRowFirstColumn="0" w:lastRowLastColumn="0"/>
            <w:tcW w:w="0" w:type="auto"/>
            <w:hideMark/>
          </w:tcPr>
          <w:p w:rsidR="00A7152E" w:rsidRPr="00A7152E" w:rsidRDefault="00A7152E" w:rsidP="00A7152E">
            <w:pPr>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Loss of original residence</w:t>
            </w:r>
          </w:p>
        </w:tc>
        <w:tc>
          <w:tcPr>
            <w:tcW w:w="0" w:type="auto"/>
            <w:hideMark/>
          </w:tcPr>
          <w:p w:rsidR="00A7152E" w:rsidRPr="00A7152E" w:rsidRDefault="00A7152E" w:rsidP="00A715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10</w:t>
            </w:r>
          </w:p>
        </w:tc>
        <w:tc>
          <w:tcPr>
            <w:tcW w:w="0" w:type="auto"/>
            <w:hideMark/>
          </w:tcPr>
          <w:p w:rsidR="00A7152E" w:rsidRPr="00A7152E" w:rsidRDefault="00A7152E" w:rsidP="00A715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10.1%</w:t>
            </w:r>
          </w:p>
        </w:tc>
      </w:tr>
      <w:tr w:rsidR="00A7152E" w:rsidRPr="00A7152E" w:rsidTr="00697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7152E" w:rsidRPr="00A7152E" w:rsidRDefault="00A7152E" w:rsidP="00A7152E">
            <w:pPr>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Loss of cultural/religious sites</w:t>
            </w:r>
          </w:p>
        </w:tc>
        <w:tc>
          <w:tcPr>
            <w:tcW w:w="0" w:type="auto"/>
            <w:hideMark/>
          </w:tcPr>
          <w:p w:rsidR="00A7152E" w:rsidRPr="00A7152E" w:rsidRDefault="00A7152E" w:rsidP="00A715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10</w:t>
            </w:r>
          </w:p>
        </w:tc>
        <w:tc>
          <w:tcPr>
            <w:tcW w:w="0" w:type="auto"/>
            <w:hideMark/>
          </w:tcPr>
          <w:p w:rsidR="00A7152E" w:rsidRPr="00A7152E" w:rsidRDefault="00A7152E" w:rsidP="00A715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10.1%</w:t>
            </w:r>
          </w:p>
        </w:tc>
      </w:tr>
    </w:tbl>
    <w:p w:rsidR="00A7152E" w:rsidRPr="00A7152E" w:rsidRDefault="00A7152E" w:rsidP="00A7152E">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6971CE">
        <w:rPr>
          <w:rFonts w:ascii="Times New Roman" w:eastAsia="Times New Roman" w:hAnsi="Times New Roman" w:cs="Times New Roman"/>
          <w:b/>
          <w:bCs/>
          <w:sz w:val="24"/>
          <w:szCs w:val="24"/>
          <w:lang w:eastAsia="en-GB"/>
        </w:rPr>
        <w:t>Interpretation</w:t>
      </w:r>
    </w:p>
    <w:p w:rsidR="00A7152E" w:rsidRPr="00A7152E" w:rsidRDefault="00A7152E" w:rsidP="00A7152E">
      <w:pPr>
        <w:spacing w:before="100" w:beforeAutospacing="1" w:after="100" w:afterAutospacing="1" w:line="240" w:lineRule="auto"/>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 xml:space="preserve">The combination of </w:t>
      </w:r>
      <w:r w:rsidRPr="006971CE">
        <w:rPr>
          <w:rFonts w:ascii="Times New Roman" w:eastAsia="Times New Roman" w:hAnsi="Times New Roman" w:cs="Times New Roman"/>
          <w:b/>
          <w:bCs/>
          <w:sz w:val="24"/>
          <w:szCs w:val="24"/>
          <w:lang w:eastAsia="en-GB"/>
        </w:rPr>
        <w:t>decreasing income</w:t>
      </w:r>
      <w:r w:rsidRPr="00A7152E">
        <w:rPr>
          <w:rFonts w:ascii="Times New Roman" w:eastAsia="Times New Roman" w:hAnsi="Times New Roman" w:cs="Times New Roman"/>
          <w:sz w:val="24"/>
          <w:szCs w:val="24"/>
          <w:lang w:eastAsia="en-GB"/>
        </w:rPr>
        <w:t xml:space="preserve"> and </w:t>
      </w:r>
      <w:r w:rsidRPr="006971CE">
        <w:rPr>
          <w:rFonts w:ascii="Times New Roman" w:eastAsia="Times New Roman" w:hAnsi="Times New Roman" w:cs="Times New Roman"/>
          <w:b/>
          <w:bCs/>
          <w:sz w:val="24"/>
          <w:szCs w:val="24"/>
          <w:lang w:eastAsia="en-GB"/>
        </w:rPr>
        <w:t>increasing cost of living</w:t>
      </w:r>
      <w:r w:rsidRPr="00A7152E">
        <w:rPr>
          <w:rFonts w:ascii="Times New Roman" w:eastAsia="Times New Roman" w:hAnsi="Times New Roman" w:cs="Times New Roman"/>
          <w:sz w:val="24"/>
          <w:szCs w:val="24"/>
          <w:lang w:eastAsia="en-GB"/>
        </w:rPr>
        <w:t xml:space="preserve"> creates a double burden that accelerates economic vulnerability.</w:t>
      </w:r>
    </w:p>
    <w:p w:rsidR="00A7152E" w:rsidRPr="00A7152E" w:rsidRDefault="00A7152E" w:rsidP="00A7152E">
      <w:pPr>
        <w:spacing w:before="100" w:beforeAutospacing="1" w:after="100" w:afterAutospacing="1" w:line="240" w:lineRule="auto"/>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Qualitative responses include:</w:t>
      </w:r>
    </w:p>
    <w:p w:rsidR="006971CE" w:rsidRPr="006971CE" w:rsidRDefault="00A7152E" w:rsidP="006971CE">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6971CE">
        <w:rPr>
          <w:rFonts w:ascii="Times New Roman" w:eastAsia="Times New Roman" w:hAnsi="Times New Roman" w:cs="Times New Roman"/>
          <w:i/>
          <w:iCs/>
          <w:sz w:val="24"/>
          <w:szCs w:val="24"/>
          <w:lang w:eastAsia="en-GB"/>
        </w:rPr>
        <w:t>“My salary cannot cover the new house rent.”</w:t>
      </w:r>
    </w:p>
    <w:p w:rsidR="00A7152E" w:rsidRPr="006971CE" w:rsidRDefault="00A7152E" w:rsidP="006971CE">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lang w:eastAsia="en-GB"/>
        </w:rPr>
      </w:pPr>
      <w:r w:rsidRPr="006971CE">
        <w:rPr>
          <w:rFonts w:ascii="Times New Roman" w:eastAsia="Times New Roman" w:hAnsi="Times New Roman" w:cs="Times New Roman"/>
          <w:i/>
          <w:iCs/>
          <w:sz w:val="24"/>
          <w:szCs w:val="24"/>
          <w:lang w:eastAsia="en-GB"/>
        </w:rPr>
        <w:t xml:space="preserve">“After losing the farmland, we depend on small </w:t>
      </w:r>
      <w:proofErr w:type="spellStart"/>
      <w:r w:rsidRPr="006971CE">
        <w:rPr>
          <w:rFonts w:ascii="Times New Roman" w:eastAsia="Times New Roman" w:hAnsi="Times New Roman" w:cs="Times New Roman"/>
          <w:i/>
          <w:iCs/>
          <w:sz w:val="24"/>
          <w:szCs w:val="24"/>
          <w:lang w:eastAsia="en-GB"/>
        </w:rPr>
        <w:t>labor</w:t>
      </w:r>
      <w:proofErr w:type="spellEnd"/>
      <w:r w:rsidRPr="006971CE">
        <w:rPr>
          <w:rFonts w:ascii="Times New Roman" w:eastAsia="Times New Roman" w:hAnsi="Times New Roman" w:cs="Times New Roman"/>
          <w:i/>
          <w:iCs/>
          <w:sz w:val="24"/>
          <w:szCs w:val="24"/>
          <w:lang w:eastAsia="en-GB"/>
        </w:rPr>
        <w:t xml:space="preserve"> jobs. It is not enough.”</w:t>
      </w:r>
    </w:p>
    <w:p w:rsidR="00A7152E" w:rsidRPr="00A7152E" w:rsidRDefault="00A7152E" w:rsidP="00A7152E">
      <w:pPr>
        <w:spacing w:before="100" w:beforeAutospacing="1" w:after="100" w:afterAutospacing="1" w:line="240" w:lineRule="auto"/>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 xml:space="preserve">This demonstrates a </w:t>
      </w:r>
      <w:r w:rsidRPr="006971CE">
        <w:rPr>
          <w:rFonts w:ascii="Times New Roman" w:eastAsia="Times New Roman" w:hAnsi="Times New Roman" w:cs="Times New Roman"/>
          <w:b/>
          <w:bCs/>
          <w:sz w:val="24"/>
          <w:szCs w:val="24"/>
          <w:lang w:eastAsia="en-GB"/>
        </w:rPr>
        <w:t>failure of transition planning</w:t>
      </w:r>
      <w:r w:rsidRPr="00A7152E">
        <w:rPr>
          <w:rFonts w:ascii="Times New Roman" w:eastAsia="Times New Roman" w:hAnsi="Times New Roman" w:cs="Times New Roman"/>
          <w:sz w:val="24"/>
          <w:szCs w:val="24"/>
          <w:lang w:eastAsia="en-GB"/>
        </w:rPr>
        <w:t>, which, according to sustainable urbanism principles, should ensure livelihood continuity for displaced populations.</w:t>
      </w:r>
    </w:p>
    <w:p w:rsidR="00A7152E" w:rsidRPr="00A7152E" w:rsidRDefault="00A7152E" w:rsidP="00A7152E">
      <w:pPr>
        <w:spacing w:after="0" w:line="240" w:lineRule="auto"/>
        <w:rPr>
          <w:rFonts w:ascii="Times New Roman" w:eastAsia="Times New Roman" w:hAnsi="Times New Roman" w:cs="Times New Roman"/>
          <w:sz w:val="24"/>
          <w:szCs w:val="24"/>
          <w:lang w:eastAsia="en-GB"/>
        </w:rPr>
      </w:pPr>
    </w:p>
    <w:p w:rsidR="00A7152E" w:rsidRPr="00A7152E" w:rsidRDefault="00A7152E" w:rsidP="00A7152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GB"/>
        </w:rPr>
      </w:pPr>
      <w:r w:rsidRPr="006971CE">
        <w:rPr>
          <w:rFonts w:ascii="Times New Roman" w:eastAsia="Times New Roman" w:hAnsi="Times New Roman" w:cs="Times New Roman"/>
          <w:b/>
          <w:bCs/>
          <w:kern w:val="36"/>
          <w:sz w:val="24"/>
          <w:szCs w:val="24"/>
          <w:lang w:eastAsia="en-GB"/>
        </w:rPr>
        <w:t>4.5 Coping Mechanisms and Institutional Support (Specific Objective 5)</w:t>
      </w:r>
    </w:p>
    <w:p w:rsidR="00A7152E" w:rsidRPr="00A7152E" w:rsidRDefault="00A7152E" w:rsidP="00A7152E">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6971CE">
        <w:rPr>
          <w:rFonts w:ascii="Times New Roman" w:eastAsia="Times New Roman" w:hAnsi="Times New Roman" w:cs="Times New Roman"/>
          <w:b/>
          <w:bCs/>
          <w:sz w:val="24"/>
          <w:szCs w:val="24"/>
          <w:lang w:eastAsia="en-GB"/>
        </w:rPr>
        <w:t>4.5.1 Community Coping Mechanisms</w:t>
      </w:r>
    </w:p>
    <w:p w:rsidR="00A7152E" w:rsidRPr="00A7152E" w:rsidRDefault="00A7152E" w:rsidP="00A7152E">
      <w:pPr>
        <w:spacing w:before="100" w:beforeAutospacing="1" w:after="100" w:afterAutospacing="1" w:line="240" w:lineRule="auto"/>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Respondents adopted various strategies:</w:t>
      </w:r>
    </w:p>
    <w:p w:rsidR="006971CE" w:rsidRDefault="00A7152E" w:rsidP="006971CE">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6971CE">
        <w:rPr>
          <w:rFonts w:ascii="Times New Roman" w:eastAsia="Times New Roman" w:hAnsi="Times New Roman" w:cs="Times New Roman"/>
          <w:sz w:val="24"/>
          <w:szCs w:val="24"/>
          <w:lang w:eastAsia="en-GB"/>
        </w:rPr>
        <w:t>Starting small businesses</w:t>
      </w:r>
    </w:p>
    <w:p w:rsidR="006971CE" w:rsidRDefault="00A7152E" w:rsidP="006971CE">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6971CE">
        <w:rPr>
          <w:rFonts w:ascii="Times New Roman" w:eastAsia="Times New Roman" w:hAnsi="Times New Roman" w:cs="Times New Roman"/>
          <w:sz w:val="24"/>
          <w:szCs w:val="24"/>
          <w:lang w:eastAsia="en-GB"/>
        </w:rPr>
        <w:t>Renting houses</w:t>
      </w:r>
    </w:p>
    <w:p w:rsidR="006971CE" w:rsidRDefault="00A7152E" w:rsidP="006971CE">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6971CE">
        <w:rPr>
          <w:rFonts w:ascii="Times New Roman" w:eastAsia="Times New Roman" w:hAnsi="Times New Roman" w:cs="Times New Roman"/>
          <w:sz w:val="24"/>
          <w:szCs w:val="24"/>
          <w:lang w:eastAsia="en-GB"/>
        </w:rPr>
        <w:t xml:space="preserve">Taking wage </w:t>
      </w:r>
      <w:proofErr w:type="spellStart"/>
      <w:r w:rsidRPr="006971CE">
        <w:rPr>
          <w:rFonts w:ascii="Times New Roman" w:eastAsia="Times New Roman" w:hAnsi="Times New Roman" w:cs="Times New Roman"/>
          <w:sz w:val="24"/>
          <w:szCs w:val="24"/>
          <w:lang w:eastAsia="en-GB"/>
        </w:rPr>
        <w:t>labor</w:t>
      </w:r>
      <w:proofErr w:type="spellEnd"/>
    </w:p>
    <w:p w:rsidR="00A7152E" w:rsidRPr="006971CE" w:rsidRDefault="00A7152E" w:rsidP="006971CE">
      <w:pPr>
        <w:pStyle w:val="ListParagraph"/>
        <w:numPr>
          <w:ilvl w:val="0"/>
          <w:numId w:val="15"/>
        </w:numPr>
        <w:spacing w:before="100" w:beforeAutospacing="1" w:after="100" w:afterAutospacing="1" w:line="240" w:lineRule="auto"/>
        <w:rPr>
          <w:rFonts w:ascii="Times New Roman" w:eastAsia="Times New Roman" w:hAnsi="Times New Roman" w:cs="Times New Roman"/>
          <w:sz w:val="24"/>
          <w:szCs w:val="24"/>
          <w:lang w:eastAsia="en-GB"/>
        </w:rPr>
      </w:pPr>
      <w:r w:rsidRPr="006971CE">
        <w:rPr>
          <w:rFonts w:ascii="Times New Roman" w:eastAsia="Times New Roman" w:hAnsi="Times New Roman" w:cs="Times New Roman"/>
          <w:sz w:val="24"/>
          <w:szCs w:val="24"/>
          <w:lang w:eastAsia="en-GB"/>
        </w:rPr>
        <w:t>Relying on relatives</w:t>
      </w:r>
    </w:p>
    <w:p w:rsidR="00A7152E" w:rsidRPr="00A7152E" w:rsidRDefault="00A7152E" w:rsidP="00A7152E">
      <w:pPr>
        <w:spacing w:before="100" w:beforeAutospacing="1" w:after="100" w:afterAutospacing="1" w:line="240" w:lineRule="auto"/>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 xml:space="preserve">These strategies indicate </w:t>
      </w:r>
      <w:r w:rsidRPr="006971CE">
        <w:rPr>
          <w:rFonts w:ascii="Times New Roman" w:eastAsia="Times New Roman" w:hAnsi="Times New Roman" w:cs="Times New Roman"/>
          <w:b/>
          <w:bCs/>
          <w:sz w:val="24"/>
          <w:szCs w:val="24"/>
          <w:lang w:eastAsia="en-GB"/>
        </w:rPr>
        <w:t>self-initiated survival</w:t>
      </w:r>
      <w:r w:rsidRPr="00A7152E">
        <w:rPr>
          <w:rFonts w:ascii="Times New Roman" w:eastAsia="Times New Roman" w:hAnsi="Times New Roman" w:cs="Times New Roman"/>
          <w:sz w:val="24"/>
          <w:szCs w:val="24"/>
          <w:lang w:eastAsia="en-GB"/>
        </w:rPr>
        <w:t>, rather than planned livelihood transition.</w:t>
      </w:r>
    </w:p>
    <w:p w:rsidR="00733C37" w:rsidRDefault="00733C37" w:rsidP="00A7152E">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p>
    <w:p w:rsidR="00733C37" w:rsidRDefault="00733C37" w:rsidP="00A7152E">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p>
    <w:p w:rsidR="00733C37" w:rsidRDefault="00733C37" w:rsidP="00A7152E">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p>
    <w:p w:rsidR="00733C37" w:rsidRDefault="00733C37" w:rsidP="00A7152E">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p>
    <w:p w:rsidR="00A7152E" w:rsidRPr="00A7152E" w:rsidRDefault="00A7152E" w:rsidP="00A7152E">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bookmarkStart w:id="1" w:name="_GoBack"/>
      <w:bookmarkEnd w:id="1"/>
      <w:r w:rsidRPr="006971CE">
        <w:rPr>
          <w:rFonts w:ascii="Times New Roman" w:eastAsia="Times New Roman" w:hAnsi="Times New Roman" w:cs="Times New Roman"/>
          <w:b/>
          <w:bCs/>
          <w:sz w:val="24"/>
          <w:szCs w:val="24"/>
          <w:lang w:eastAsia="en-GB"/>
        </w:rPr>
        <w:lastRenderedPageBreak/>
        <w:t>4.5.2 Institutional Support</w:t>
      </w:r>
    </w:p>
    <w:p w:rsidR="00A7152E" w:rsidRPr="00A7152E" w:rsidRDefault="00A7152E" w:rsidP="00A7152E">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6971CE">
        <w:rPr>
          <w:rFonts w:ascii="Times New Roman" w:eastAsia="Times New Roman" w:hAnsi="Times New Roman" w:cs="Times New Roman"/>
          <w:b/>
          <w:bCs/>
          <w:sz w:val="24"/>
          <w:szCs w:val="24"/>
          <w:lang w:eastAsia="en-GB"/>
        </w:rPr>
        <w:t>Table 4.8 Institutional Support Received</w:t>
      </w:r>
    </w:p>
    <w:tbl>
      <w:tblPr>
        <w:tblStyle w:val="LightShading"/>
        <w:tblW w:w="0" w:type="auto"/>
        <w:tblLook w:val="04A0" w:firstRow="1" w:lastRow="0" w:firstColumn="1" w:lastColumn="0" w:noHBand="0" w:noVBand="1"/>
      </w:tblPr>
      <w:tblGrid>
        <w:gridCol w:w="2370"/>
        <w:gridCol w:w="1310"/>
        <w:gridCol w:w="1349"/>
      </w:tblGrid>
      <w:tr w:rsidR="00A7152E" w:rsidRPr="00A7152E" w:rsidTr="006971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7152E" w:rsidRPr="00A7152E" w:rsidRDefault="00A7152E" w:rsidP="00A7152E">
            <w:pPr>
              <w:jc w:val="center"/>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Support</w:t>
            </w:r>
          </w:p>
        </w:tc>
        <w:tc>
          <w:tcPr>
            <w:tcW w:w="0" w:type="auto"/>
            <w:hideMark/>
          </w:tcPr>
          <w:p w:rsidR="00A7152E" w:rsidRPr="00A7152E" w:rsidRDefault="00A7152E" w:rsidP="00A7152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Frequency</w:t>
            </w:r>
          </w:p>
        </w:tc>
        <w:tc>
          <w:tcPr>
            <w:tcW w:w="0" w:type="auto"/>
            <w:hideMark/>
          </w:tcPr>
          <w:p w:rsidR="00A7152E" w:rsidRPr="00A7152E" w:rsidRDefault="00A7152E" w:rsidP="00A7152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Percentage</w:t>
            </w:r>
          </w:p>
        </w:tc>
      </w:tr>
      <w:tr w:rsidR="00A7152E" w:rsidRPr="00A7152E" w:rsidTr="00697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7152E" w:rsidRPr="00A7152E" w:rsidRDefault="00A7152E" w:rsidP="00A7152E">
            <w:pPr>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None</w:t>
            </w:r>
          </w:p>
        </w:tc>
        <w:tc>
          <w:tcPr>
            <w:tcW w:w="0" w:type="auto"/>
            <w:hideMark/>
          </w:tcPr>
          <w:p w:rsidR="00A7152E" w:rsidRPr="00A7152E" w:rsidRDefault="00A7152E" w:rsidP="00A715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74</w:t>
            </w:r>
          </w:p>
        </w:tc>
        <w:tc>
          <w:tcPr>
            <w:tcW w:w="0" w:type="auto"/>
            <w:hideMark/>
          </w:tcPr>
          <w:p w:rsidR="00A7152E" w:rsidRPr="00A7152E" w:rsidRDefault="00A7152E" w:rsidP="00A715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74.7%</w:t>
            </w:r>
          </w:p>
        </w:tc>
      </w:tr>
      <w:tr w:rsidR="00A7152E" w:rsidRPr="00A7152E" w:rsidTr="006971CE">
        <w:tc>
          <w:tcPr>
            <w:cnfStyle w:val="001000000000" w:firstRow="0" w:lastRow="0" w:firstColumn="1" w:lastColumn="0" w:oddVBand="0" w:evenVBand="0" w:oddHBand="0" w:evenHBand="0" w:firstRowFirstColumn="0" w:firstRowLastColumn="0" w:lastRowFirstColumn="0" w:lastRowLastColumn="0"/>
            <w:tcW w:w="0" w:type="auto"/>
            <w:hideMark/>
          </w:tcPr>
          <w:p w:rsidR="00A7152E" w:rsidRPr="00A7152E" w:rsidRDefault="00A7152E" w:rsidP="00A7152E">
            <w:pPr>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Community support</w:t>
            </w:r>
          </w:p>
        </w:tc>
        <w:tc>
          <w:tcPr>
            <w:tcW w:w="0" w:type="auto"/>
            <w:hideMark/>
          </w:tcPr>
          <w:p w:rsidR="00A7152E" w:rsidRPr="00A7152E" w:rsidRDefault="00A7152E" w:rsidP="00A715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15</w:t>
            </w:r>
          </w:p>
        </w:tc>
        <w:tc>
          <w:tcPr>
            <w:tcW w:w="0" w:type="auto"/>
            <w:hideMark/>
          </w:tcPr>
          <w:p w:rsidR="00A7152E" w:rsidRPr="00A7152E" w:rsidRDefault="00A7152E" w:rsidP="00A7152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15.2%</w:t>
            </w:r>
          </w:p>
        </w:tc>
      </w:tr>
      <w:tr w:rsidR="00A7152E" w:rsidRPr="00A7152E" w:rsidTr="006971C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7152E" w:rsidRPr="00A7152E" w:rsidRDefault="00A7152E" w:rsidP="00A7152E">
            <w:pPr>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Government support</w:t>
            </w:r>
          </w:p>
        </w:tc>
        <w:tc>
          <w:tcPr>
            <w:tcW w:w="0" w:type="auto"/>
            <w:hideMark/>
          </w:tcPr>
          <w:p w:rsidR="00A7152E" w:rsidRPr="00A7152E" w:rsidRDefault="00A7152E" w:rsidP="00A715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10</w:t>
            </w:r>
          </w:p>
        </w:tc>
        <w:tc>
          <w:tcPr>
            <w:tcW w:w="0" w:type="auto"/>
            <w:hideMark/>
          </w:tcPr>
          <w:p w:rsidR="00A7152E" w:rsidRPr="00A7152E" w:rsidRDefault="00A7152E" w:rsidP="00A7152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10.1%</w:t>
            </w:r>
          </w:p>
        </w:tc>
      </w:tr>
    </w:tbl>
    <w:p w:rsidR="00A7152E" w:rsidRPr="00A7152E" w:rsidRDefault="00A7152E" w:rsidP="00A7152E">
      <w:pPr>
        <w:spacing w:before="100" w:beforeAutospacing="1" w:after="100" w:afterAutospacing="1" w:line="240" w:lineRule="auto"/>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 xml:space="preserve">The </w:t>
      </w:r>
      <w:r w:rsidRPr="006971CE">
        <w:rPr>
          <w:rFonts w:ascii="Times New Roman" w:eastAsia="Times New Roman" w:hAnsi="Times New Roman" w:cs="Times New Roman"/>
          <w:b/>
          <w:bCs/>
          <w:sz w:val="24"/>
          <w:szCs w:val="24"/>
          <w:lang w:eastAsia="en-GB"/>
        </w:rPr>
        <w:t>near absence of institutional support</w:t>
      </w:r>
      <w:r w:rsidRPr="00A7152E">
        <w:rPr>
          <w:rFonts w:ascii="Times New Roman" w:eastAsia="Times New Roman" w:hAnsi="Times New Roman" w:cs="Times New Roman"/>
          <w:sz w:val="24"/>
          <w:szCs w:val="24"/>
          <w:lang w:eastAsia="en-GB"/>
        </w:rPr>
        <w:t xml:space="preserve"> is one of the most critical findings:</w:t>
      </w:r>
    </w:p>
    <w:p w:rsidR="006971CE" w:rsidRDefault="00A7152E" w:rsidP="006971CE">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6971CE">
        <w:rPr>
          <w:rFonts w:ascii="Times New Roman" w:eastAsia="Times New Roman" w:hAnsi="Times New Roman" w:cs="Times New Roman"/>
          <w:sz w:val="24"/>
          <w:szCs w:val="24"/>
          <w:lang w:eastAsia="en-GB"/>
        </w:rPr>
        <w:t xml:space="preserve">3 out of 4 respondents received </w:t>
      </w:r>
      <w:r w:rsidRPr="006971CE">
        <w:rPr>
          <w:rFonts w:ascii="Times New Roman" w:eastAsia="Times New Roman" w:hAnsi="Times New Roman" w:cs="Times New Roman"/>
          <w:b/>
          <w:bCs/>
          <w:sz w:val="24"/>
          <w:szCs w:val="24"/>
          <w:lang w:eastAsia="en-GB"/>
        </w:rPr>
        <w:t>no support</w:t>
      </w:r>
      <w:r w:rsidRPr="006971CE">
        <w:rPr>
          <w:rFonts w:ascii="Times New Roman" w:eastAsia="Times New Roman" w:hAnsi="Times New Roman" w:cs="Times New Roman"/>
          <w:sz w:val="24"/>
          <w:szCs w:val="24"/>
          <w:lang w:eastAsia="en-GB"/>
        </w:rPr>
        <w:t xml:space="preserve"> at all.</w:t>
      </w:r>
    </w:p>
    <w:p w:rsidR="00A7152E" w:rsidRPr="006971CE" w:rsidRDefault="00A7152E" w:rsidP="006971CE">
      <w:pPr>
        <w:pStyle w:val="ListParagraph"/>
        <w:numPr>
          <w:ilvl w:val="0"/>
          <w:numId w:val="16"/>
        </w:numPr>
        <w:spacing w:before="100" w:beforeAutospacing="1" w:after="100" w:afterAutospacing="1" w:line="240" w:lineRule="auto"/>
        <w:rPr>
          <w:rFonts w:ascii="Times New Roman" w:eastAsia="Times New Roman" w:hAnsi="Times New Roman" w:cs="Times New Roman"/>
          <w:sz w:val="24"/>
          <w:szCs w:val="24"/>
          <w:lang w:eastAsia="en-GB"/>
        </w:rPr>
      </w:pPr>
      <w:r w:rsidRPr="006971CE">
        <w:rPr>
          <w:rFonts w:ascii="Times New Roman" w:eastAsia="Times New Roman" w:hAnsi="Times New Roman" w:cs="Times New Roman"/>
          <w:sz w:val="24"/>
          <w:szCs w:val="24"/>
          <w:lang w:eastAsia="en-GB"/>
        </w:rPr>
        <w:t>Government programs were minimal despite mandatory transitional requirements.</w:t>
      </w:r>
    </w:p>
    <w:p w:rsidR="00A7152E" w:rsidRPr="00A7152E" w:rsidRDefault="00A7152E" w:rsidP="00A7152E">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6971CE">
        <w:rPr>
          <w:rFonts w:ascii="Times New Roman" w:eastAsia="Times New Roman" w:hAnsi="Times New Roman" w:cs="Times New Roman"/>
          <w:b/>
          <w:bCs/>
          <w:sz w:val="24"/>
          <w:szCs w:val="24"/>
          <w:lang w:eastAsia="en-GB"/>
        </w:rPr>
        <w:t>Qualitative needs expressed</w:t>
      </w:r>
    </w:p>
    <w:p w:rsidR="00A7152E" w:rsidRPr="00A7152E" w:rsidRDefault="00A7152E" w:rsidP="00A7152E">
      <w:pPr>
        <w:spacing w:before="100" w:beforeAutospacing="1" w:after="100" w:afterAutospacing="1" w:line="240" w:lineRule="auto"/>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Themes include:</w:t>
      </w:r>
    </w:p>
    <w:p w:rsidR="00A7152E" w:rsidRPr="00A7152E" w:rsidRDefault="00A7152E" w:rsidP="00A7152E">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6971CE">
        <w:rPr>
          <w:rFonts w:ascii="Times New Roman" w:eastAsia="Times New Roman" w:hAnsi="Times New Roman" w:cs="Times New Roman"/>
          <w:b/>
          <w:bCs/>
          <w:sz w:val="24"/>
          <w:szCs w:val="24"/>
          <w:lang w:eastAsia="en-GB"/>
        </w:rPr>
        <w:t>1. Livelihood and job security</w:t>
      </w:r>
    </w:p>
    <w:p w:rsidR="00A7152E" w:rsidRPr="00A7152E" w:rsidRDefault="00A7152E" w:rsidP="00A7152E">
      <w:pPr>
        <w:spacing w:beforeAutospacing="1" w:after="100" w:afterAutospacing="1" w:line="240" w:lineRule="auto"/>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“We need job programs and skills training.”</w:t>
      </w:r>
    </w:p>
    <w:p w:rsidR="00A7152E" w:rsidRPr="00A7152E" w:rsidRDefault="00A7152E" w:rsidP="00A7152E">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6971CE">
        <w:rPr>
          <w:rFonts w:ascii="Times New Roman" w:eastAsia="Times New Roman" w:hAnsi="Times New Roman" w:cs="Times New Roman"/>
          <w:b/>
          <w:bCs/>
          <w:sz w:val="24"/>
          <w:szCs w:val="24"/>
          <w:lang w:eastAsia="en-GB"/>
        </w:rPr>
        <w:t>2. Financial and housing support</w:t>
      </w:r>
    </w:p>
    <w:p w:rsidR="00A7152E" w:rsidRPr="00A7152E" w:rsidRDefault="00A7152E" w:rsidP="00A7152E">
      <w:pPr>
        <w:spacing w:beforeAutospacing="1" w:after="100" w:afterAutospacing="1" w:line="240" w:lineRule="auto"/>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“Rent is too high; we need housing support.”</w:t>
      </w:r>
    </w:p>
    <w:p w:rsidR="00A7152E" w:rsidRPr="00A7152E" w:rsidRDefault="00A7152E" w:rsidP="00A7152E">
      <w:pPr>
        <w:spacing w:before="100" w:beforeAutospacing="1" w:after="100" w:afterAutospacing="1" w:line="240" w:lineRule="auto"/>
        <w:outlineLvl w:val="3"/>
        <w:rPr>
          <w:rFonts w:ascii="Times New Roman" w:eastAsia="Times New Roman" w:hAnsi="Times New Roman" w:cs="Times New Roman"/>
          <w:b/>
          <w:bCs/>
          <w:sz w:val="24"/>
          <w:szCs w:val="24"/>
          <w:lang w:eastAsia="en-GB"/>
        </w:rPr>
      </w:pPr>
      <w:r w:rsidRPr="006971CE">
        <w:rPr>
          <w:rFonts w:ascii="Times New Roman" w:eastAsia="Times New Roman" w:hAnsi="Times New Roman" w:cs="Times New Roman"/>
          <w:b/>
          <w:bCs/>
          <w:sz w:val="24"/>
          <w:szCs w:val="24"/>
          <w:lang w:eastAsia="en-GB"/>
        </w:rPr>
        <w:t>3. Restitution and recognition</w:t>
      </w:r>
    </w:p>
    <w:p w:rsidR="00A7152E" w:rsidRPr="00A7152E" w:rsidRDefault="00A7152E" w:rsidP="00A7152E">
      <w:pPr>
        <w:spacing w:beforeAutospacing="1" w:after="100" w:afterAutospacing="1" w:line="240" w:lineRule="auto"/>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“Replacement land and compensation should be given.”</w:t>
      </w:r>
      <w:r w:rsidRPr="00A7152E">
        <w:rPr>
          <w:rFonts w:ascii="Times New Roman" w:eastAsia="Times New Roman" w:hAnsi="Times New Roman" w:cs="Times New Roman"/>
          <w:sz w:val="24"/>
          <w:szCs w:val="24"/>
          <w:lang w:eastAsia="en-GB"/>
        </w:rPr>
        <w:br/>
        <w:t>“Our voice must be heard.”</w:t>
      </w:r>
    </w:p>
    <w:p w:rsidR="00A7152E" w:rsidRPr="00A7152E" w:rsidRDefault="00A7152E" w:rsidP="00A7152E">
      <w:pPr>
        <w:spacing w:before="100" w:beforeAutospacing="1" w:after="100" w:afterAutospacing="1" w:line="240" w:lineRule="auto"/>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This triangulates with quantitative data and strengthens the conclusion that institutional structures have inadequately responded to displacement pressures.</w:t>
      </w:r>
    </w:p>
    <w:p w:rsidR="00A7152E" w:rsidRPr="00A7152E" w:rsidRDefault="00A7152E" w:rsidP="00A7152E">
      <w:pPr>
        <w:spacing w:after="0" w:line="240" w:lineRule="auto"/>
        <w:rPr>
          <w:rFonts w:ascii="Times New Roman" w:eastAsia="Times New Roman" w:hAnsi="Times New Roman" w:cs="Times New Roman"/>
          <w:sz w:val="24"/>
          <w:szCs w:val="24"/>
          <w:lang w:eastAsia="en-GB"/>
        </w:rPr>
      </w:pPr>
    </w:p>
    <w:p w:rsidR="00A7152E" w:rsidRPr="00A7152E" w:rsidRDefault="00A7152E" w:rsidP="00A7152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GB"/>
        </w:rPr>
      </w:pPr>
      <w:r w:rsidRPr="006971CE">
        <w:rPr>
          <w:rFonts w:ascii="Times New Roman" w:eastAsia="Times New Roman" w:hAnsi="Times New Roman" w:cs="Times New Roman"/>
          <w:b/>
          <w:bCs/>
          <w:kern w:val="36"/>
          <w:sz w:val="24"/>
          <w:szCs w:val="24"/>
          <w:lang w:eastAsia="en-GB"/>
        </w:rPr>
        <w:t>4.6 Environmental Implications (Specific Objective 4)</w:t>
      </w:r>
    </w:p>
    <w:p w:rsidR="00A7152E" w:rsidRPr="00A7152E" w:rsidRDefault="00A7152E" w:rsidP="00A7152E">
      <w:pPr>
        <w:spacing w:before="100" w:beforeAutospacing="1" w:after="100" w:afterAutospacing="1" w:line="240" w:lineRule="auto"/>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Although environmental data were not collected quantitatively, environmental effects were significant and consistently raised by key informants.</w:t>
      </w:r>
    </w:p>
    <w:p w:rsidR="00A7152E" w:rsidRPr="00A7152E" w:rsidRDefault="00A7152E" w:rsidP="00A7152E">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6971CE">
        <w:rPr>
          <w:rFonts w:ascii="Times New Roman" w:eastAsia="Times New Roman" w:hAnsi="Times New Roman" w:cs="Times New Roman"/>
          <w:b/>
          <w:bCs/>
          <w:sz w:val="24"/>
          <w:szCs w:val="24"/>
          <w:lang w:eastAsia="en-GB"/>
        </w:rPr>
        <w:t>Key environmental findings</w:t>
      </w:r>
    </w:p>
    <w:p w:rsidR="006971CE" w:rsidRDefault="00A7152E" w:rsidP="006971CE">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6971CE">
        <w:rPr>
          <w:rFonts w:ascii="Times New Roman" w:eastAsia="Times New Roman" w:hAnsi="Times New Roman" w:cs="Times New Roman"/>
          <w:sz w:val="24"/>
          <w:szCs w:val="24"/>
          <w:lang w:eastAsia="en-GB"/>
        </w:rPr>
        <w:t xml:space="preserve">Conversion of fertile soils (Lithic </w:t>
      </w:r>
      <w:proofErr w:type="spellStart"/>
      <w:r w:rsidRPr="006971CE">
        <w:rPr>
          <w:rFonts w:ascii="Times New Roman" w:eastAsia="Times New Roman" w:hAnsi="Times New Roman" w:cs="Times New Roman"/>
          <w:sz w:val="24"/>
          <w:szCs w:val="24"/>
          <w:lang w:eastAsia="en-GB"/>
        </w:rPr>
        <w:t>Leptosols</w:t>
      </w:r>
      <w:proofErr w:type="spellEnd"/>
      <w:r w:rsidRPr="006971CE">
        <w:rPr>
          <w:rFonts w:ascii="Times New Roman" w:eastAsia="Times New Roman" w:hAnsi="Times New Roman" w:cs="Times New Roman"/>
          <w:sz w:val="24"/>
          <w:szCs w:val="24"/>
          <w:lang w:eastAsia="en-GB"/>
        </w:rPr>
        <w:t xml:space="preserve"> and </w:t>
      </w:r>
      <w:proofErr w:type="spellStart"/>
      <w:r w:rsidRPr="006971CE">
        <w:rPr>
          <w:rFonts w:ascii="Times New Roman" w:eastAsia="Times New Roman" w:hAnsi="Times New Roman" w:cs="Times New Roman"/>
          <w:sz w:val="24"/>
          <w:szCs w:val="24"/>
          <w:lang w:eastAsia="en-GB"/>
        </w:rPr>
        <w:t>Eutric</w:t>
      </w:r>
      <w:proofErr w:type="spellEnd"/>
      <w:r w:rsidRPr="006971CE">
        <w:rPr>
          <w:rFonts w:ascii="Times New Roman" w:eastAsia="Times New Roman" w:hAnsi="Times New Roman" w:cs="Times New Roman"/>
          <w:sz w:val="24"/>
          <w:szCs w:val="24"/>
          <w:lang w:eastAsia="en-GB"/>
        </w:rPr>
        <w:t xml:space="preserve"> </w:t>
      </w:r>
      <w:proofErr w:type="spellStart"/>
      <w:r w:rsidRPr="006971CE">
        <w:rPr>
          <w:rFonts w:ascii="Times New Roman" w:eastAsia="Times New Roman" w:hAnsi="Times New Roman" w:cs="Times New Roman"/>
          <w:sz w:val="24"/>
          <w:szCs w:val="24"/>
          <w:lang w:eastAsia="en-GB"/>
        </w:rPr>
        <w:t>Vertisols</w:t>
      </w:r>
      <w:proofErr w:type="spellEnd"/>
      <w:r w:rsidRPr="006971CE">
        <w:rPr>
          <w:rFonts w:ascii="Times New Roman" w:eastAsia="Times New Roman" w:hAnsi="Times New Roman" w:cs="Times New Roman"/>
          <w:sz w:val="24"/>
          <w:szCs w:val="24"/>
          <w:lang w:eastAsia="en-GB"/>
        </w:rPr>
        <w:t>) to buildings and asphalt</w:t>
      </w:r>
    </w:p>
    <w:p w:rsidR="006971CE" w:rsidRDefault="00A7152E" w:rsidP="006971CE">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6971CE">
        <w:rPr>
          <w:rFonts w:ascii="Times New Roman" w:eastAsia="Times New Roman" w:hAnsi="Times New Roman" w:cs="Times New Roman"/>
          <w:sz w:val="24"/>
          <w:szCs w:val="24"/>
          <w:lang w:eastAsia="en-GB"/>
        </w:rPr>
        <w:t>Increased runoff and potential erosion</w:t>
      </w:r>
    </w:p>
    <w:p w:rsidR="006971CE" w:rsidRDefault="00A7152E" w:rsidP="006971CE">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6971CE">
        <w:rPr>
          <w:rFonts w:ascii="Times New Roman" w:eastAsia="Times New Roman" w:hAnsi="Times New Roman" w:cs="Times New Roman"/>
          <w:sz w:val="24"/>
          <w:szCs w:val="24"/>
          <w:lang w:eastAsia="en-GB"/>
        </w:rPr>
        <w:t>Reduced green cover</w:t>
      </w:r>
    </w:p>
    <w:p w:rsidR="006971CE" w:rsidRDefault="00A7152E" w:rsidP="006971CE">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6971CE">
        <w:rPr>
          <w:rFonts w:ascii="Times New Roman" w:eastAsia="Times New Roman" w:hAnsi="Times New Roman" w:cs="Times New Roman"/>
          <w:sz w:val="24"/>
          <w:szCs w:val="24"/>
          <w:lang w:eastAsia="en-GB"/>
        </w:rPr>
        <w:t>Pressure on water and waste systems</w:t>
      </w:r>
    </w:p>
    <w:p w:rsidR="00A7152E" w:rsidRPr="006971CE" w:rsidRDefault="00A7152E" w:rsidP="006971CE">
      <w:pPr>
        <w:pStyle w:val="ListParagraph"/>
        <w:numPr>
          <w:ilvl w:val="0"/>
          <w:numId w:val="17"/>
        </w:numPr>
        <w:spacing w:before="100" w:beforeAutospacing="1" w:after="100" w:afterAutospacing="1" w:line="240" w:lineRule="auto"/>
        <w:rPr>
          <w:rFonts w:ascii="Times New Roman" w:eastAsia="Times New Roman" w:hAnsi="Times New Roman" w:cs="Times New Roman"/>
          <w:sz w:val="24"/>
          <w:szCs w:val="24"/>
          <w:lang w:eastAsia="en-GB"/>
        </w:rPr>
      </w:pPr>
      <w:r w:rsidRPr="006971CE">
        <w:rPr>
          <w:rFonts w:ascii="Times New Roman" w:eastAsia="Times New Roman" w:hAnsi="Times New Roman" w:cs="Times New Roman"/>
          <w:sz w:val="24"/>
          <w:szCs w:val="24"/>
          <w:lang w:eastAsia="en-GB"/>
        </w:rPr>
        <w:t>Declining soil productivity</w:t>
      </w:r>
    </w:p>
    <w:p w:rsidR="00A7152E" w:rsidRPr="00A7152E" w:rsidRDefault="00A7152E" w:rsidP="00A7152E">
      <w:pPr>
        <w:spacing w:before="100" w:beforeAutospacing="1" w:after="100" w:afterAutospacing="1" w:line="240" w:lineRule="auto"/>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lastRenderedPageBreak/>
        <w:t xml:space="preserve">The conversion of </w:t>
      </w:r>
      <w:r w:rsidRPr="006971CE">
        <w:rPr>
          <w:rFonts w:ascii="Times New Roman" w:eastAsia="Times New Roman" w:hAnsi="Times New Roman" w:cs="Times New Roman"/>
          <w:b/>
          <w:bCs/>
          <w:sz w:val="24"/>
          <w:szCs w:val="24"/>
          <w:lang w:eastAsia="en-GB"/>
        </w:rPr>
        <w:t>40.4%</w:t>
      </w:r>
      <w:r w:rsidRPr="00A7152E">
        <w:rPr>
          <w:rFonts w:ascii="Times New Roman" w:eastAsia="Times New Roman" w:hAnsi="Times New Roman" w:cs="Times New Roman"/>
          <w:sz w:val="24"/>
          <w:szCs w:val="24"/>
          <w:lang w:eastAsia="en-GB"/>
        </w:rPr>
        <w:t xml:space="preserve"> of respondents’ land suggests significant ecological disturbance. This mirrors findings across Ethiopia’s expanding secondary cities (World Bank, 2022), where unplanned </w:t>
      </w:r>
      <w:proofErr w:type="spellStart"/>
      <w:r w:rsidRPr="00A7152E">
        <w:rPr>
          <w:rFonts w:ascii="Times New Roman" w:eastAsia="Times New Roman" w:hAnsi="Times New Roman" w:cs="Times New Roman"/>
          <w:sz w:val="24"/>
          <w:szCs w:val="24"/>
          <w:lang w:eastAsia="en-GB"/>
        </w:rPr>
        <w:t>peri</w:t>
      </w:r>
      <w:proofErr w:type="spellEnd"/>
      <w:r w:rsidRPr="00A7152E">
        <w:rPr>
          <w:rFonts w:ascii="Times New Roman" w:eastAsia="Times New Roman" w:hAnsi="Times New Roman" w:cs="Times New Roman"/>
          <w:sz w:val="24"/>
          <w:szCs w:val="24"/>
          <w:lang w:eastAsia="en-GB"/>
        </w:rPr>
        <w:t>-urban expansion leads to irreversible environmental degradation.</w:t>
      </w:r>
    </w:p>
    <w:p w:rsidR="00A7152E" w:rsidRPr="00A7152E" w:rsidRDefault="00A7152E" w:rsidP="00A7152E">
      <w:pPr>
        <w:spacing w:after="0" w:line="240" w:lineRule="auto"/>
        <w:rPr>
          <w:rFonts w:ascii="Times New Roman" w:eastAsia="Times New Roman" w:hAnsi="Times New Roman" w:cs="Times New Roman"/>
          <w:sz w:val="24"/>
          <w:szCs w:val="24"/>
          <w:lang w:eastAsia="en-GB"/>
        </w:rPr>
      </w:pPr>
    </w:p>
    <w:p w:rsidR="00A7152E" w:rsidRPr="00A7152E" w:rsidRDefault="00A7152E" w:rsidP="00A7152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GB"/>
        </w:rPr>
      </w:pPr>
      <w:r w:rsidRPr="006971CE">
        <w:rPr>
          <w:rFonts w:ascii="Times New Roman" w:eastAsia="Times New Roman" w:hAnsi="Times New Roman" w:cs="Times New Roman"/>
          <w:b/>
          <w:bCs/>
          <w:kern w:val="36"/>
          <w:sz w:val="24"/>
          <w:szCs w:val="24"/>
          <w:lang w:eastAsia="en-GB"/>
        </w:rPr>
        <w:t>4.7 Integrated Interpretation of Findings</w:t>
      </w:r>
    </w:p>
    <w:p w:rsidR="00A7152E" w:rsidRPr="00A7152E" w:rsidRDefault="00A7152E" w:rsidP="00A7152E">
      <w:pPr>
        <w:spacing w:before="100" w:beforeAutospacing="1" w:after="100" w:afterAutospacing="1" w:line="240" w:lineRule="auto"/>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Across all objectives, five overarching patterns emerge:</w:t>
      </w:r>
    </w:p>
    <w:p w:rsidR="00A7152E" w:rsidRPr="00A7152E" w:rsidRDefault="00A7152E" w:rsidP="00A7152E">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6971CE">
        <w:rPr>
          <w:rFonts w:ascii="Times New Roman" w:eastAsia="Times New Roman" w:hAnsi="Times New Roman" w:cs="Times New Roman"/>
          <w:b/>
          <w:bCs/>
          <w:sz w:val="24"/>
          <w:szCs w:val="24"/>
          <w:lang w:eastAsia="en-GB"/>
        </w:rPr>
        <w:t xml:space="preserve">1. Urban expansion in </w:t>
      </w:r>
      <w:proofErr w:type="spellStart"/>
      <w:r w:rsidRPr="006971CE">
        <w:rPr>
          <w:rFonts w:ascii="Times New Roman" w:eastAsia="Times New Roman" w:hAnsi="Times New Roman" w:cs="Times New Roman"/>
          <w:b/>
          <w:bCs/>
          <w:sz w:val="24"/>
          <w:szCs w:val="24"/>
          <w:lang w:eastAsia="en-GB"/>
        </w:rPr>
        <w:t>Dessie</w:t>
      </w:r>
      <w:proofErr w:type="spellEnd"/>
      <w:r w:rsidRPr="006971CE">
        <w:rPr>
          <w:rFonts w:ascii="Times New Roman" w:eastAsia="Times New Roman" w:hAnsi="Times New Roman" w:cs="Times New Roman"/>
          <w:b/>
          <w:bCs/>
          <w:sz w:val="24"/>
          <w:szCs w:val="24"/>
          <w:lang w:eastAsia="en-GB"/>
        </w:rPr>
        <w:t xml:space="preserve"> is institutionally driven</w:t>
      </w:r>
    </w:p>
    <w:p w:rsidR="00A7152E" w:rsidRPr="006971CE" w:rsidRDefault="00A7152E" w:rsidP="006971CE">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6971CE">
        <w:rPr>
          <w:rFonts w:ascii="Times New Roman" w:eastAsia="Times New Roman" w:hAnsi="Times New Roman" w:cs="Times New Roman"/>
          <w:sz w:val="24"/>
          <w:szCs w:val="24"/>
          <w:lang w:eastAsia="en-GB"/>
        </w:rPr>
        <w:t>not</w:t>
      </w:r>
      <w:proofErr w:type="gramEnd"/>
      <w:r w:rsidRPr="006971CE">
        <w:rPr>
          <w:rFonts w:ascii="Times New Roman" w:eastAsia="Times New Roman" w:hAnsi="Times New Roman" w:cs="Times New Roman"/>
          <w:sz w:val="24"/>
          <w:szCs w:val="24"/>
          <w:lang w:eastAsia="en-GB"/>
        </w:rPr>
        <w:t xml:space="preserve"> primarily demographic.</w:t>
      </w:r>
    </w:p>
    <w:p w:rsidR="00A7152E" w:rsidRPr="00A7152E" w:rsidRDefault="00A7152E" w:rsidP="00A7152E">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6971CE">
        <w:rPr>
          <w:rFonts w:ascii="Times New Roman" w:eastAsia="Times New Roman" w:hAnsi="Times New Roman" w:cs="Times New Roman"/>
          <w:b/>
          <w:bCs/>
          <w:sz w:val="24"/>
          <w:szCs w:val="24"/>
          <w:lang w:eastAsia="en-GB"/>
        </w:rPr>
        <w:t>2. Land dispossession is widespread and procedurally unjust</w:t>
      </w:r>
    </w:p>
    <w:p w:rsidR="00A7152E" w:rsidRPr="00733C37" w:rsidRDefault="00A7152E" w:rsidP="00733C37">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733C37">
        <w:rPr>
          <w:rFonts w:ascii="Times New Roman" w:eastAsia="Times New Roman" w:hAnsi="Times New Roman" w:cs="Times New Roman"/>
          <w:sz w:val="24"/>
          <w:szCs w:val="24"/>
          <w:lang w:eastAsia="en-GB"/>
        </w:rPr>
        <w:t>with</w:t>
      </w:r>
      <w:proofErr w:type="gramEnd"/>
      <w:r w:rsidRPr="00733C37">
        <w:rPr>
          <w:rFonts w:ascii="Times New Roman" w:eastAsia="Times New Roman" w:hAnsi="Times New Roman" w:cs="Times New Roman"/>
          <w:sz w:val="24"/>
          <w:szCs w:val="24"/>
          <w:lang w:eastAsia="en-GB"/>
        </w:rPr>
        <w:t xml:space="preserve"> consultation and compensation failures.</w:t>
      </w:r>
    </w:p>
    <w:p w:rsidR="00A7152E" w:rsidRPr="00A7152E" w:rsidRDefault="00A7152E" w:rsidP="00A7152E">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6971CE">
        <w:rPr>
          <w:rFonts w:ascii="Times New Roman" w:eastAsia="Times New Roman" w:hAnsi="Times New Roman" w:cs="Times New Roman"/>
          <w:b/>
          <w:bCs/>
          <w:sz w:val="24"/>
          <w:szCs w:val="24"/>
          <w:lang w:eastAsia="en-GB"/>
        </w:rPr>
        <w:t>3. Livelihood transitions are unsupported and economically damaging</w:t>
      </w:r>
    </w:p>
    <w:p w:rsidR="00A7152E" w:rsidRPr="00733C37" w:rsidRDefault="00A7152E" w:rsidP="00733C37">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733C37">
        <w:rPr>
          <w:rFonts w:ascii="Times New Roman" w:eastAsia="Times New Roman" w:hAnsi="Times New Roman" w:cs="Times New Roman"/>
          <w:sz w:val="24"/>
          <w:szCs w:val="24"/>
          <w:lang w:eastAsia="en-GB"/>
        </w:rPr>
        <w:t>leading</w:t>
      </w:r>
      <w:proofErr w:type="gramEnd"/>
      <w:r w:rsidRPr="00733C37">
        <w:rPr>
          <w:rFonts w:ascii="Times New Roman" w:eastAsia="Times New Roman" w:hAnsi="Times New Roman" w:cs="Times New Roman"/>
          <w:sz w:val="24"/>
          <w:szCs w:val="24"/>
          <w:lang w:eastAsia="en-GB"/>
        </w:rPr>
        <w:t xml:space="preserve"> to reduced income and increased living costs.</w:t>
      </w:r>
    </w:p>
    <w:p w:rsidR="00A7152E" w:rsidRPr="00A7152E" w:rsidRDefault="00A7152E" w:rsidP="00A7152E">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6971CE">
        <w:rPr>
          <w:rFonts w:ascii="Times New Roman" w:eastAsia="Times New Roman" w:hAnsi="Times New Roman" w:cs="Times New Roman"/>
          <w:b/>
          <w:bCs/>
          <w:sz w:val="24"/>
          <w:szCs w:val="24"/>
          <w:lang w:eastAsia="en-GB"/>
        </w:rPr>
        <w:t>4. Social capital is severely weakened</w:t>
      </w:r>
    </w:p>
    <w:p w:rsidR="00A7152E" w:rsidRPr="00733C37" w:rsidRDefault="00A7152E" w:rsidP="00733C37">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733C37">
        <w:rPr>
          <w:rFonts w:ascii="Times New Roman" w:eastAsia="Times New Roman" w:hAnsi="Times New Roman" w:cs="Times New Roman"/>
          <w:sz w:val="24"/>
          <w:szCs w:val="24"/>
          <w:lang w:eastAsia="en-GB"/>
        </w:rPr>
        <w:t>disrupting</w:t>
      </w:r>
      <w:proofErr w:type="gramEnd"/>
      <w:r w:rsidRPr="00733C37">
        <w:rPr>
          <w:rFonts w:ascii="Times New Roman" w:eastAsia="Times New Roman" w:hAnsi="Times New Roman" w:cs="Times New Roman"/>
          <w:sz w:val="24"/>
          <w:szCs w:val="24"/>
          <w:lang w:eastAsia="en-GB"/>
        </w:rPr>
        <w:t xml:space="preserve"> support systems, culture, and community ties.</w:t>
      </w:r>
    </w:p>
    <w:p w:rsidR="00A7152E" w:rsidRPr="00A7152E" w:rsidRDefault="00A7152E" w:rsidP="00A7152E">
      <w:pPr>
        <w:spacing w:before="100" w:beforeAutospacing="1" w:after="100" w:afterAutospacing="1" w:line="240" w:lineRule="auto"/>
        <w:outlineLvl w:val="2"/>
        <w:rPr>
          <w:rFonts w:ascii="Times New Roman" w:eastAsia="Times New Roman" w:hAnsi="Times New Roman" w:cs="Times New Roman"/>
          <w:b/>
          <w:bCs/>
          <w:sz w:val="24"/>
          <w:szCs w:val="24"/>
          <w:lang w:eastAsia="en-GB"/>
        </w:rPr>
      </w:pPr>
      <w:r w:rsidRPr="006971CE">
        <w:rPr>
          <w:rFonts w:ascii="Times New Roman" w:eastAsia="Times New Roman" w:hAnsi="Times New Roman" w:cs="Times New Roman"/>
          <w:b/>
          <w:bCs/>
          <w:sz w:val="24"/>
          <w:szCs w:val="24"/>
          <w:lang w:eastAsia="en-GB"/>
        </w:rPr>
        <w:t>5. Institutional and environmental sustainability is lacking</w:t>
      </w:r>
    </w:p>
    <w:p w:rsidR="00A7152E" w:rsidRPr="00733C37" w:rsidRDefault="00A7152E" w:rsidP="00733C37">
      <w:pPr>
        <w:pStyle w:val="ListParagraph"/>
        <w:numPr>
          <w:ilvl w:val="0"/>
          <w:numId w:val="18"/>
        </w:numPr>
        <w:spacing w:before="100" w:beforeAutospacing="1" w:after="100" w:afterAutospacing="1" w:line="240" w:lineRule="auto"/>
        <w:rPr>
          <w:rFonts w:ascii="Times New Roman" w:eastAsia="Times New Roman" w:hAnsi="Times New Roman" w:cs="Times New Roman"/>
          <w:sz w:val="24"/>
          <w:szCs w:val="24"/>
          <w:lang w:eastAsia="en-GB"/>
        </w:rPr>
      </w:pPr>
      <w:proofErr w:type="gramStart"/>
      <w:r w:rsidRPr="00733C37">
        <w:rPr>
          <w:rFonts w:ascii="Times New Roman" w:eastAsia="Times New Roman" w:hAnsi="Times New Roman" w:cs="Times New Roman"/>
          <w:sz w:val="24"/>
          <w:szCs w:val="24"/>
          <w:lang w:eastAsia="en-GB"/>
        </w:rPr>
        <w:t>threatening</w:t>
      </w:r>
      <w:proofErr w:type="gramEnd"/>
      <w:r w:rsidRPr="00733C37">
        <w:rPr>
          <w:rFonts w:ascii="Times New Roman" w:eastAsia="Times New Roman" w:hAnsi="Times New Roman" w:cs="Times New Roman"/>
          <w:sz w:val="24"/>
          <w:szCs w:val="24"/>
          <w:lang w:eastAsia="en-GB"/>
        </w:rPr>
        <w:t xml:space="preserve"> long-term resilience.</w:t>
      </w:r>
    </w:p>
    <w:p w:rsidR="00A7152E" w:rsidRPr="00A7152E" w:rsidRDefault="00A7152E" w:rsidP="00A7152E">
      <w:pPr>
        <w:spacing w:before="100" w:beforeAutospacing="1" w:after="100" w:afterAutospacing="1" w:line="240" w:lineRule="auto"/>
        <w:rPr>
          <w:rFonts w:ascii="Times New Roman" w:eastAsia="Times New Roman" w:hAnsi="Times New Roman" w:cs="Times New Roman"/>
          <w:sz w:val="24"/>
          <w:szCs w:val="24"/>
          <w:lang w:eastAsia="en-GB"/>
        </w:rPr>
      </w:pPr>
      <w:r w:rsidRPr="00A7152E">
        <w:rPr>
          <w:rFonts w:ascii="Times New Roman" w:eastAsia="Times New Roman" w:hAnsi="Times New Roman" w:cs="Times New Roman"/>
          <w:sz w:val="24"/>
          <w:szCs w:val="24"/>
          <w:lang w:eastAsia="en-GB"/>
        </w:rPr>
        <w:t>These patterns strongly confirm political economy critiques and contradict modernization narratives of smooth rural-to-urban transformation.</w:t>
      </w:r>
    </w:p>
    <w:p w:rsidR="00A7152E" w:rsidRPr="00A7152E" w:rsidRDefault="00A7152E" w:rsidP="00A7152E">
      <w:pPr>
        <w:spacing w:after="0" w:line="240" w:lineRule="auto"/>
        <w:rPr>
          <w:rFonts w:ascii="Times New Roman" w:eastAsia="Times New Roman" w:hAnsi="Times New Roman" w:cs="Times New Roman"/>
          <w:sz w:val="24"/>
          <w:szCs w:val="24"/>
          <w:lang w:eastAsia="en-GB"/>
        </w:rPr>
      </w:pPr>
    </w:p>
    <w:p w:rsidR="003021CC" w:rsidRPr="006971CE" w:rsidRDefault="003021CC">
      <w:pPr>
        <w:rPr>
          <w:rFonts w:ascii="Times New Roman" w:hAnsi="Times New Roman" w:cs="Times New Roman"/>
          <w:sz w:val="24"/>
          <w:szCs w:val="24"/>
        </w:rPr>
      </w:pPr>
    </w:p>
    <w:sectPr w:rsidR="003021CC" w:rsidRPr="006971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A25F6E"/>
    <w:multiLevelType w:val="hybridMultilevel"/>
    <w:tmpl w:val="70FACAF2"/>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nsid w:val="1F4B41CF"/>
    <w:multiLevelType w:val="hybridMultilevel"/>
    <w:tmpl w:val="A300C28C"/>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nsid w:val="218517A2"/>
    <w:multiLevelType w:val="multilevel"/>
    <w:tmpl w:val="AA4E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4605EE"/>
    <w:multiLevelType w:val="hybridMultilevel"/>
    <w:tmpl w:val="6B8687D8"/>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nsid w:val="2E826601"/>
    <w:multiLevelType w:val="hybridMultilevel"/>
    <w:tmpl w:val="662E90C4"/>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nsid w:val="30C37588"/>
    <w:multiLevelType w:val="hybridMultilevel"/>
    <w:tmpl w:val="8B129B26"/>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nsid w:val="34AF598E"/>
    <w:multiLevelType w:val="hybridMultilevel"/>
    <w:tmpl w:val="EADC9EA8"/>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nsid w:val="3CC17688"/>
    <w:multiLevelType w:val="multilevel"/>
    <w:tmpl w:val="2A904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4B935FF"/>
    <w:multiLevelType w:val="multilevel"/>
    <w:tmpl w:val="6C12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A7364CE"/>
    <w:multiLevelType w:val="multilevel"/>
    <w:tmpl w:val="14BE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EB9239A"/>
    <w:multiLevelType w:val="multilevel"/>
    <w:tmpl w:val="F498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2EA7777"/>
    <w:multiLevelType w:val="multilevel"/>
    <w:tmpl w:val="B3EA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3771151"/>
    <w:multiLevelType w:val="multilevel"/>
    <w:tmpl w:val="1EAA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70152ED"/>
    <w:multiLevelType w:val="hybridMultilevel"/>
    <w:tmpl w:val="06983C7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67144105"/>
    <w:multiLevelType w:val="hybridMultilevel"/>
    <w:tmpl w:val="B338ECB4"/>
    <w:lvl w:ilvl="0" w:tplc="0809000B">
      <w:start w:val="1"/>
      <w:numFmt w:val="bullet"/>
      <w:lvlText w:val=""/>
      <w:lvlJc w:val="left"/>
      <w:pPr>
        <w:ind w:left="782" w:hanging="360"/>
      </w:pPr>
      <w:rPr>
        <w:rFonts w:ascii="Wingdings" w:hAnsi="Wingdings" w:hint="default"/>
      </w:rPr>
    </w:lvl>
    <w:lvl w:ilvl="1" w:tplc="08090003" w:tentative="1">
      <w:start w:val="1"/>
      <w:numFmt w:val="bullet"/>
      <w:lvlText w:val="o"/>
      <w:lvlJc w:val="left"/>
      <w:pPr>
        <w:ind w:left="1502" w:hanging="360"/>
      </w:pPr>
      <w:rPr>
        <w:rFonts w:ascii="Courier New" w:hAnsi="Courier New" w:cs="Courier New" w:hint="default"/>
      </w:rPr>
    </w:lvl>
    <w:lvl w:ilvl="2" w:tplc="08090005" w:tentative="1">
      <w:start w:val="1"/>
      <w:numFmt w:val="bullet"/>
      <w:lvlText w:val=""/>
      <w:lvlJc w:val="left"/>
      <w:pPr>
        <w:ind w:left="2222" w:hanging="360"/>
      </w:pPr>
      <w:rPr>
        <w:rFonts w:ascii="Wingdings" w:hAnsi="Wingdings" w:hint="default"/>
      </w:rPr>
    </w:lvl>
    <w:lvl w:ilvl="3" w:tplc="08090001" w:tentative="1">
      <w:start w:val="1"/>
      <w:numFmt w:val="bullet"/>
      <w:lvlText w:val=""/>
      <w:lvlJc w:val="left"/>
      <w:pPr>
        <w:ind w:left="2942" w:hanging="360"/>
      </w:pPr>
      <w:rPr>
        <w:rFonts w:ascii="Symbol" w:hAnsi="Symbol" w:hint="default"/>
      </w:rPr>
    </w:lvl>
    <w:lvl w:ilvl="4" w:tplc="08090003" w:tentative="1">
      <w:start w:val="1"/>
      <w:numFmt w:val="bullet"/>
      <w:lvlText w:val="o"/>
      <w:lvlJc w:val="left"/>
      <w:pPr>
        <w:ind w:left="3662" w:hanging="360"/>
      </w:pPr>
      <w:rPr>
        <w:rFonts w:ascii="Courier New" w:hAnsi="Courier New" w:cs="Courier New" w:hint="default"/>
      </w:rPr>
    </w:lvl>
    <w:lvl w:ilvl="5" w:tplc="08090005" w:tentative="1">
      <w:start w:val="1"/>
      <w:numFmt w:val="bullet"/>
      <w:lvlText w:val=""/>
      <w:lvlJc w:val="left"/>
      <w:pPr>
        <w:ind w:left="4382" w:hanging="360"/>
      </w:pPr>
      <w:rPr>
        <w:rFonts w:ascii="Wingdings" w:hAnsi="Wingdings" w:hint="default"/>
      </w:rPr>
    </w:lvl>
    <w:lvl w:ilvl="6" w:tplc="08090001" w:tentative="1">
      <w:start w:val="1"/>
      <w:numFmt w:val="bullet"/>
      <w:lvlText w:val=""/>
      <w:lvlJc w:val="left"/>
      <w:pPr>
        <w:ind w:left="5102" w:hanging="360"/>
      </w:pPr>
      <w:rPr>
        <w:rFonts w:ascii="Symbol" w:hAnsi="Symbol" w:hint="default"/>
      </w:rPr>
    </w:lvl>
    <w:lvl w:ilvl="7" w:tplc="08090003" w:tentative="1">
      <w:start w:val="1"/>
      <w:numFmt w:val="bullet"/>
      <w:lvlText w:val="o"/>
      <w:lvlJc w:val="left"/>
      <w:pPr>
        <w:ind w:left="5822" w:hanging="360"/>
      </w:pPr>
      <w:rPr>
        <w:rFonts w:ascii="Courier New" w:hAnsi="Courier New" w:cs="Courier New" w:hint="default"/>
      </w:rPr>
    </w:lvl>
    <w:lvl w:ilvl="8" w:tplc="08090005" w:tentative="1">
      <w:start w:val="1"/>
      <w:numFmt w:val="bullet"/>
      <w:lvlText w:val=""/>
      <w:lvlJc w:val="left"/>
      <w:pPr>
        <w:ind w:left="6542" w:hanging="360"/>
      </w:pPr>
      <w:rPr>
        <w:rFonts w:ascii="Wingdings" w:hAnsi="Wingdings" w:hint="default"/>
      </w:rPr>
    </w:lvl>
  </w:abstractNum>
  <w:abstractNum w:abstractNumId="15">
    <w:nsid w:val="6716066E"/>
    <w:multiLevelType w:val="multilevel"/>
    <w:tmpl w:val="94F6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2B60EC2"/>
    <w:multiLevelType w:val="hybridMultilevel"/>
    <w:tmpl w:val="12BE42C4"/>
    <w:lvl w:ilvl="0" w:tplc="0809000D">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72F7513C"/>
    <w:multiLevelType w:val="hybridMultilevel"/>
    <w:tmpl w:val="64E638E4"/>
    <w:lvl w:ilvl="0" w:tplc="0809000D">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8"/>
  </w:num>
  <w:num w:numId="2">
    <w:abstractNumId w:val="12"/>
  </w:num>
  <w:num w:numId="3">
    <w:abstractNumId w:val="2"/>
  </w:num>
  <w:num w:numId="4">
    <w:abstractNumId w:val="9"/>
  </w:num>
  <w:num w:numId="5">
    <w:abstractNumId w:val="15"/>
  </w:num>
  <w:num w:numId="6">
    <w:abstractNumId w:val="11"/>
  </w:num>
  <w:num w:numId="7">
    <w:abstractNumId w:val="10"/>
  </w:num>
  <w:num w:numId="8">
    <w:abstractNumId w:val="7"/>
  </w:num>
  <w:num w:numId="9">
    <w:abstractNumId w:val="14"/>
  </w:num>
  <w:num w:numId="10">
    <w:abstractNumId w:val="6"/>
  </w:num>
  <w:num w:numId="11">
    <w:abstractNumId w:val="0"/>
  </w:num>
  <w:num w:numId="12">
    <w:abstractNumId w:val="13"/>
  </w:num>
  <w:num w:numId="13">
    <w:abstractNumId w:val="3"/>
  </w:num>
  <w:num w:numId="14">
    <w:abstractNumId w:val="17"/>
  </w:num>
  <w:num w:numId="15">
    <w:abstractNumId w:val="4"/>
  </w:num>
  <w:num w:numId="16">
    <w:abstractNumId w:val="1"/>
  </w:num>
  <w:num w:numId="17">
    <w:abstractNumId w:val="5"/>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proofState w:spelling="clean" w:grammar="clean"/>
  <w:defaultTabStop w:val="720"/>
  <w:characterSpacingControl w:val="doNotCompress"/>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152E"/>
    <w:rsid w:val="003021CC"/>
    <w:rsid w:val="00605220"/>
    <w:rsid w:val="006971CE"/>
    <w:rsid w:val="00733C37"/>
    <w:rsid w:val="00A715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7152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3">
    <w:name w:val="heading 3"/>
    <w:basedOn w:val="Normal"/>
    <w:link w:val="Heading3Char"/>
    <w:uiPriority w:val="9"/>
    <w:qFormat/>
    <w:rsid w:val="00A7152E"/>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A7152E"/>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52E"/>
    <w:rPr>
      <w:rFonts w:ascii="Times New Roman" w:eastAsia="Times New Roman" w:hAnsi="Times New Roman" w:cs="Times New Roman"/>
      <w:b/>
      <w:bCs/>
      <w:kern w:val="36"/>
      <w:sz w:val="48"/>
      <w:szCs w:val="48"/>
      <w:lang w:eastAsia="en-GB"/>
    </w:rPr>
  </w:style>
  <w:style w:type="character" w:customStyle="1" w:styleId="Heading3Char">
    <w:name w:val="Heading 3 Char"/>
    <w:basedOn w:val="DefaultParagraphFont"/>
    <w:link w:val="Heading3"/>
    <w:uiPriority w:val="9"/>
    <w:rsid w:val="00A7152E"/>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A7152E"/>
    <w:rPr>
      <w:rFonts w:ascii="Times New Roman" w:eastAsia="Times New Roman" w:hAnsi="Times New Roman" w:cs="Times New Roman"/>
      <w:b/>
      <w:bCs/>
      <w:sz w:val="24"/>
      <w:szCs w:val="24"/>
      <w:lang w:eastAsia="en-GB"/>
    </w:rPr>
  </w:style>
  <w:style w:type="paragraph" w:styleId="NormalWeb">
    <w:name w:val="Normal (Web)"/>
    <w:basedOn w:val="Normal"/>
    <w:uiPriority w:val="99"/>
    <w:semiHidden/>
    <w:unhideWhenUsed/>
    <w:rsid w:val="00A7152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A7152E"/>
    <w:rPr>
      <w:b/>
      <w:bCs/>
    </w:rPr>
  </w:style>
  <w:style w:type="character" w:styleId="Emphasis">
    <w:name w:val="Emphasis"/>
    <w:basedOn w:val="DefaultParagraphFont"/>
    <w:uiPriority w:val="20"/>
    <w:qFormat/>
    <w:rsid w:val="00A7152E"/>
    <w:rPr>
      <w:i/>
      <w:iCs/>
    </w:rPr>
  </w:style>
  <w:style w:type="paragraph" w:styleId="ListParagraph">
    <w:name w:val="List Paragraph"/>
    <w:basedOn w:val="Normal"/>
    <w:uiPriority w:val="34"/>
    <w:qFormat/>
    <w:rsid w:val="00A7152E"/>
    <w:pPr>
      <w:ind w:left="720"/>
      <w:contextualSpacing/>
    </w:pPr>
  </w:style>
  <w:style w:type="table" w:styleId="TableGrid">
    <w:name w:val="Table Grid"/>
    <w:basedOn w:val="TableNormal"/>
    <w:uiPriority w:val="59"/>
    <w:qFormat/>
    <w:rsid w:val="00605220"/>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605220"/>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7152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3">
    <w:name w:val="heading 3"/>
    <w:basedOn w:val="Normal"/>
    <w:link w:val="Heading3Char"/>
    <w:uiPriority w:val="9"/>
    <w:qFormat/>
    <w:rsid w:val="00A7152E"/>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A7152E"/>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152E"/>
    <w:rPr>
      <w:rFonts w:ascii="Times New Roman" w:eastAsia="Times New Roman" w:hAnsi="Times New Roman" w:cs="Times New Roman"/>
      <w:b/>
      <w:bCs/>
      <w:kern w:val="36"/>
      <w:sz w:val="48"/>
      <w:szCs w:val="48"/>
      <w:lang w:eastAsia="en-GB"/>
    </w:rPr>
  </w:style>
  <w:style w:type="character" w:customStyle="1" w:styleId="Heading3Char">
    <w:name w:val="Heading 3 Char"/>
    <w:basedOn w:val="DefaultParagraphFont"/>
    <w:link w:val="Heading3"/>
    <w:uiPriority w:val="9"/>
    <w:rsid w:val="00A7152E"/>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A7152E"/>
    <w:rPr>
      <w:rFonts w:ascii="Times New Roman" w:eastAsia="Times New Roman" w:hAnsi="Times New Roman" w:cs="Times New Roman"/>
      <w:b/>
      <w:bCs/>
      <w:sz w:val="24"/>
      <w:szCs w:val="24"/>
      <w:lang w:eastAsia="en-GB"/>
    </w:rPr>
  </w:style>
  <w:style w:type="paragraph" w:styleId="NormalWeb">
    <w:name w:val="Normal (Web)"/>
    <w:basedOn w:val="Normal"/>
    <w:uiPriority w:val="99"/>
    <w:semiHidden/>
    <w:unhideWhenUsed/>
    <w:rsid w:val="00A7152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A7152E"/>
    <w:rPr>
      <w:b/>
      <w:bCs/>
    </w:rPr>
  </w:style>
  <w:style w:type="character" w:styleId="Emphasis">
    <w:name w:val="Emphasis"/>
    <w:basedOn w:val="DefaultParagraphFont"/>
    <w:uiPriority w:val="20"/>
    <w:qFormat/>
    <w:rsid w:val="00A7152E"/>
    <w:rPr>
      <w:i/>
      <w:iCs/>
    </w:rPr>
  </w:style>
  <w:style w:type="paragraph" w:styleId="ListParagraph">
    <w:name w:val="List Paragraph"/>
    <w:basedOn w:val="Normal"/>
    <w:uiPriority w:val="34"/>
    <w:qFormat/>
    <w:rsid w:val="00A7152E"/>
    <w:pPr>
      <w:ind w:left="720"/>
      <w:contextualSpacing/>
    </w:pPr>
  </w:style>
  <w:style w:type="table" w:styleId="TableGrid">
    <w:name w:val="Table Grid"/>
    <w:basedOn w:val="TableNormal"/>
    <w:uiPriority w:val="59"/>
    <w:qFormat/>
    <w:rsid w:val="00605220"/>
    <w:pPr>
      <w:spacing w:after="0" w:line="240" w:lineRule="auto"/>
    </w:pPr>
    <w:rPr>
      <w:rFonts w:ascii="Times New Roman" w:eastAsia="SimSu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605220"/>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41354679">
      <w:bodyDiv w:val="1"/>
      <w:marLeft w:val="0"/>
      <w:marRight w:val="0"/>
      <w:marTop w:val="0"/>
      <w:marBottom w:val="0"/>
      <w:divBdr>
        <w:top w:val="none" w:sz="0" w:space="0" w:color="auto"/>
        <w:left w:val="none" w:sz="0" w:space="0" w:color="auto"/>
        <w:bottom w:val="none" w:sz="0" w:space="0" w:color="auto"/>
        <w:right w:val="none" w:sz="0" w:space="0" w:color="auto"/>
      </w:divBdr>
    </w:div>
    <w:div w:id="889147341">
      <w:bodyDiv w:val="1"/>
      <w:marLeft w:val="0"/>
      <w:marRight w:val="0"/>
      <w:marTop w:val="0"/>
      <w:marBottom w:val="0"/>
      <w:divBdr>
        <w:top w:val="none" w:sz="0" w:space="0" w:color="auto"/>
        <w:left w:val="none" w:sz="0" w:space="0" w:color="auto"/>
        <w:bottom w:val="none" w:sz="0" w:space="0" w:color="auto"/>
        <w:right w:val="none" w:sz="0" w:space="0" w:color="auto"/>
      </w:divBdr>
    </w:div>
    <w:div w:id="1108620464">
      <w:bodyDiv w:val="1"/>
      <w:marLeft w:val="0"/>
      <w:marRight w:val="0"/>
      <w:marTop w:val="0"/>
      <w:marBottom w:val="0"/>
      <w:divBdr>
        <w:top w:val="none" w:sz="0" w:space="0" w:color="auto"/>
        <w:left w:val="none" w:sz="0" w:space="0" w:color="auto"/>
        <w:bottom w:val="none" w:sz="0" w:space="0" w:color="auto"/>
        <w:right w:val="none" w:sz="0" w:space="0" w:color="auto"/>
      </w:divBdr>
    </w:div>
    <w:div w:id="1437167437">
      <w:bodyDiv w:val="1"/>
      <w:marLeft w:val="0"/>
      <w:marRight w:val="0"/>
      <w:marTop w:val="0"/>
      <w:marBottom w:val="0"/>
      <w:divBdr>
        <w:top w:val="none" w:sz="0" w:space="0" w:color="auto"/>
        <w:left w:val="none" w:sz="0" w:space="0" w:color="auto"/>
        <w:bottom w:val="none" w:sz="0" w:space="0" w:color="auto"/>
        <w:right w:val="none" w:sz="0" w:space="0" w:color="auto"/>
      </w:divBdr>
    </w:div>
    <w:div w:id="1531800375">
      <w:bodyDiv w:val="1"/>
      <w:marLeft w:val="0"/>
      <w:marRight w:val="0"/>
      <w:marTop w:val="0"/>
      <w:marBottom w:val="0"/>
      <w:divBdr>
        <w:top w:val="none" w:sz="0" w:space="0" w:color="auto"/>
        <w:left w:val="none" w:sz="0" w:space="0" w:color="auto"/>
        <w:bottom w:val="none" w:sz="0" w:space="0" w:color="auto"/>
        <w:right w:val="none" w:sz="0" w:space="0" w:color="auto"/>
      </w:divBdr>
    </w:div>
    <w:div w:id="1749185307">
      <w:bodyDiv w:val="1"/>
      <w:marLeft w:val="0"/>
      <w:marRight w:val="0"/>
      <w:marTop w:val="0"/>
      <w:marBottom w:val="0"/>
      <w:divBdr>
        <w:top w:val="none" w:sz="0" w:space="0" w:color="auto"/>
        <w:left w:val="none" w:sz="0" w:space="0" w:color="auto"/>
        <w:bottom w:val="none" w:sz="0" w:space="0" w:color="auto"/>
        <w:right w:val="none" w:sz="0" w:space="0" w:color="auto"/>
      </w:divBdr>
      <w:divsChild>
        <w:div w:id="144757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575436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739899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0740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8</Pages>
  <Words>1504</Words>
  <Characters>8577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2025-12-01T06:52:00Z</dcterms:created>
  <dcterms:modified xsi:type="dcterms:W3CDTF">2025-12-01T07:35:00Z</dcterms:modified>
</cp:coreProperties>
</file>