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Quarto manuscript template for RevTeX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This is a placeholder abstract. The document demonstrates the features of a</w:t>
      </w:r>
      <w:r>
        <w:t xml:space="preserve"> </w:t>
      </w:r>
      <w:r>
        <w:t xml:space="preserve">Quarto manuscript project that renders a RevTeX PDF: author and affiliation</w:t>
      </w:r>
      <w:r>
        <w:t xml:space="preserve"> </w:t>
      </w:r>
      <w:r>
        <w:t xml:space="preserve">metadata, numbered sections and equations, cross-references, citations, and</w:t>
      </w:r>
      <w:r>
        <w:t xml:space="preserve"> </w:t>
      </w:r>
      <w:r>
        <w:t xml:space="preserve">figures generated from Python code.</w:t>
      </w:r>
    </w:p>
    <w:bookmarkStart w:id="15" w:name="sec-workflow"/>
    <w:p>
      <w:pPr>
        <w:pStyle w:val="Heading2"/>
      </w:pPr>
      <w:r>
        <w:t xml:space="preserve">Workflow</w:t>
      </w:r>
    </w:p>
    <w:p>
      <w:pPr>
        <w:pStyle w:val="FirstParagraph"/>
      </w:pPr>
      <w:r>
        <w:t xml:space="preserve">This section documents how the manuscript is built and should be removed</w:t>
      </w:r>
      <w:r>
        <w:t xml:space="preserve"> </w:t>
      </w:r>
      <w:r>
        <w:t xml:space="preserve">before submission. The source is the Quarto file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configures a Quarto</w:t>
      </w:r>
      <w:r>
        <w:t xml:space="preserve"> </w:t>
      </w:r>
      <w:r>
        <w:rPr>
          <w:i/>
          <w:iCs/>
        </w:rPr>
        <w:t xml:space="preserve">manuscript</w:t>
      </w:r>
      <w:r>
        <w:t xml:space="preserve"> </w:t>
      </w:r>
      <w:r>
        <w:t xml:space="preserve">project that renders HTML,</w:t>
      </w:r>
      <w:r>
        <w:t xml:space="preserve"> </w:t>
      </w:r>
      <w:r>
        <w:t xml:space="preserve">Word, JATS and a RevTeX PDF from that single source.</w:t>
      </w:r>
    </w:p>
    <w:bookmarkStart w:id="9" w:name="building"/>
    <w:p>
      <w:pPr>
        <w:pStyle w:val="Heading3"/>
      </w:pPr>
      <w:r>
        <w:t xml:space="preserve">Building</w:t>
      </w:r>
    </w:p>
    <w:p>
      <w:pPr>
        <w:pStyle w:val="FirstParagraph"/>
      </w:pPr>
      <w:r>
        <w:t xml:space="preserve">Render all formats, or only the PDF, with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index.qmd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pdf</w:t>
      </w:r>
    </w:p>
    <w:p>
      <w:pPr>
        <w:pStyle w:val="FirstParagraph"/>
      </w:pPr>
      <w:r>
        <w:t xml:space="preserve">Output is written to</w:t>
      </w:r>
      <w:r>
        <w:t xml:space="preserve"> </w:t>
      </w:r>
      <w:r>
        <w:rPr>
          <w:rStyle w:val="VerbatimChar"/>
        </w:rPr>
        <w:t xml:space="preserve">_manuscript/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freeze: true</w:t>
      </w:r>
      <w:r>
        <w:t xml:space="preserve"> </w:t>
      </w:r>
      <w:r>
        <w:t xml:space="preserve">is set, a</w:t>
      </w:r>
      <w:r>
        <w:t xml:space="preserve"> </w:t>
      </w:r>
      <w:r>
        <w:t xml:space="preserve">project-wide render reuses stored code output; rendering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 </w:t>
      </w:r>
      <w:r>
        <w:t xml:space="preserve">explicitly re-executes the Python chunks. Use</w:t>
      </w:r>
      <w:r>
        <w:t xml:space="preserve"> </w:t>
      </w:r>
      <w:r>
        <w:rPr>
          <w:rStyle w:val="VerbatimChar"/>
        </w:rPr>
        <w:t xml:space="preserve">quarto preview</w:t>
      </w:r>
      <w:r>
        <w:t xml:space="preserve"> </w:t>
      </w:r>
      <w:r>
        <w:t xml:space="preserve">for live</w:t>
      </w:r>
      <w:r>
        <w:t xml:space="preserve"> </w:t>
      </w:r>
      <w:r>
        <w:t xml:space="preserve">reloading while writing.</w:t>
      </w:r>
    </w:p>
    <w:bookmarkEnd w:id="9"/>
    <w:bookmarkStart w:id="10" w:name="revtex-setup"/>
    <w:p>
      <w:pPr>
        <w:pStyle w:val="Heading3"/>
      </w:pPr>
      <w:r>
        <w:t xml:space="preserve">RevTeX setup</w:t>
      </w:r>
    </w:p>
    <w:p>
      <w:pPr>
        <w:pStyle w:val="FirstParagraph"/>
      </w:pPr>
      <w:r>
        <w:t xml:space="preserve">The PDF uses</w:t>
      </w:r>
      <w:r>
        <w:t xml:space="preserve"> </w:t>
      </w:r>
      <w:r>
        <w:rPr>
          <w:rStyle w:val="VerbatimChar"/>
        </w:rPr>
        <w:t xml:space="preserve">documentclass: revtex4-2</w:t>
      </w:r>
      <w:r>
        <w:t xml:space="preserve"> </w:t>
      </w:r>
      <w:r>
        <w:t xml:space="preserve">with the options</w:t>
      </w:r>
      <w:r>
        <w:t xml:space="preserve"> </w:t>
      </w:r>
      <w:r>
        <w:rPr>
          <w:rStyle w:val="VerbatimChar"/>
        </w:rPr>
        <w:t xml:space="preserve">aps, pra, reprint, superscriptaddress</w:t>
      </w:r>
      <w:r>
        <w:t xml:space="preserve">; change</w:t>
      </w:r>
      <w:r>
        <w:t xml:space="preserve"> </w:t>
      </w:r>
      <w:r>
        <w:rPr>
          <w:rStyle w:val="VerbatimChar"/>
        </w:rPr>
        <w:t xml:space="preserve">pra</w:t>
      </w:r>
      <w:r>
        <w:t xml:space="preserve"> </w:t>
      </w:r>
      <w:r>
        <w:t xml:space="preserve">to target another</w:t>
      </w:r>
      <w:r>
        <w:t xml:space="preserve"> </w:t>
      </w:r>
      <w:r>
        <w:t xml:space="preserve">journal, or</w:t>
      </w:r>
      <w:r>
        <w:t xml:space="preserve"> </w:t>
      </w:r>
      <w:r>
        <w:rPr>
          <w:rStyle w:val="VerbatimChar"/>
        </w:rPr>
        <w:t xml:space="preserve">reprint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preprint</w:t>
      </w:r>
      <w:r>
        <w:t xml:space="preserve"> </w:t>
      </w:r>
      <w:r>
        <w:t xml:space="preserve">for a single-column draft. The folder</w:t>
      </w:r>
      <w:r>
        <w:t xml:space="preserve"> </w:t>
      </w:r>
      <w:r>
        <w:rPr>
          <w:rStyle w:val="VerbatimChar"/>
        </w:rPr>
        <w:t xml:space="preserve">_revtex/</w:t>
      </w:r>
      <w:r>
        <w:t xml:space="preserve"> </w:t>
      </w:r>
      <w:r>
        <w:t xml:space="preserve">holds the glue between Quarto and RevTeX. The file</w:t>
      </w:r>
      <w:r>
        <w:t xml:space="preserve"> </w:t>
      </w:r>
      <w:r>
        <w:rPr>
          <w:rStyle w:val="VerbatimChar"/>
        </w:rPr>
        <w:t xml:space="preserve">before-body.tex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\title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\author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\affiliation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\email</w:t>
      </w:r>
      <w:r>
        <w:t xml:space="preserve"> </w:t>
      </w:r>
      <w:r>
        <w:t xml:space="preserve">and</w:t>
      </w:r>
      <w:r>
        <w:t xml:space="preserve"> </w:t>
      </w:r>
      <w:r>
        <w:t xml:space="preserve">the abstract after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as RevTeX requires. The file</w:t>
      </w:r>
      <w:r>
        <w:t xml:space="preserve"> </w:t>
      </w:r>
      <w:r>
        <w:rPr>
          <w:rStyle w:val="VerbatimChar"/>
        </w:rPr>
        <w:t xml:space="preserve">preamble.tex</w:t>
      </w:r>
      <w:r>
        <w:t xml:space="preserve"> </w:t>
      </w:r>
      <w:r>
        <w:t xml:space="preserve">resolves a</w:t>
      </w:r>
      <w:r>
        <w:t xml:space="preserve"> </w:t>
      </w:r>
      <w:r>
        <w:rPr>
          <w:rStyle w:val="VerbatimChar"/>
        </w:rPr>
        <w:t xml:space="preserve">longtable*</w:t>
      </w:r>
      <w:r>
        <w:t xml:space="preserve"> </w:t>
      </w:r>
      <w:r>
        <w:t xml:space="preserve">clash with the</w:t>
      </w:r>
      <w:r>
        <w:t xml:space="preserve"> </w:t>
      </w:r>
      <w:r>
        <w:rPr>
          <w:rStyle w:val="VerbatimChar"/>
        </w:rPr>
        <w:t xml:space="preserve">caption</w:t>
      </w:r>
      <w:r>
        <w:t xml:space="preserve"> </w:t>
      </w:r>
      <w:r>
        <w:t xml:space="preserve">package.</w:t>
      </w:r>
      <w:r>
        <w:t xml:space="preserve"> </w:t>
      </w:r>
      <w:r>
        <w:t xml:space="preserve">The generated LaTeX is kept in</w:t>
      </w:r>
      <w:r>
        <w:t xml:space="preserve"> </w:t>
      </w:r>
      <w:r>
        <w:rPr>
          <w:rStyle w:val="VerbatimChar"/>
        </w:rPr>
        <w:t xml:space="preserve">_manuscript/_tex/</w:t>
      </w:r>
      <w:r>
        <w:t xml:space="preserve"> </w:t>
      </w:r>
      <w:r>
        <w:t xml:space="preserve">for journal submission.</w:t>
      </w:r>
    </w:p>
    <w:bookmarkEnd w:id="10"/>
    <w:bookmarkStart w:id="11" w:name="fonts"/>
    <w:p>
      <w:pPr>
        <w:pStyle w:val="Heading3"/>
      </w:pPr>
      <w:r>
        <w:t xml:space="preserve">Fonts</w:t>
      </w:r>
    </w:p>
    <w:p>
      <w:pPr>
        <w:pStyle w:val="FirstParagraph"/>
      </w:pPr>
      <w:r>
        <w:t xml:space="preserve">Text and mathematics are set in STIX Two in both the PDF and the HTML</w:t>
      </w:r>
      <w:r>
        <w:t xml:space="preserve"> </w:t>
      </w:r>
      <w:r>
        <w:t xml:space="preserve">output. The font files are in</w:t>
      </w:r>
      <w:r>
        <w:t xml:space="preserve"> </w:t>
      </w:r>
      <w:r>
        <w:rPr>
          <w:rStyle w:val="VerbatimChar"/>
        </w:rPr>
        <w:t xml:space="preserve">_fonts/</w:t>
      </w:r>
      <w:r>
        <w:t xml:space="preserve">, and they are switched on by</w:t>
      </w:r>
      <w:r>
        <w:t xml:space="preserve"> </w:t>
      </w:r>
      <w:r>
        <w:rPr>
          <w:rStyle w:val="VerbatimChar"/>
        </w:rPr>
        <w:t xml:space="preserve">stix: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; set it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to use the default fonts.</w:t>
      </w:r>
      <w:r>
        <w:t xml:space="preserve"> </w:t>
      </w:r>
      <w:r>
        <w:t xml:space="preserve">The filter</w:t>
      </w:r>
      <w:r>
        <w:t xml:space="preserve"> </w:t>
      </w:r>
      <w:r>
        <w:rPr>
          <w:rStyle w:val="VerbatimChar"/>
        </w:rPr>
        <w:t xml:space="preserve">_fonts/stix.lua</w:t>
      </w:r>
      <w:r>
        <w:t xml:space="preserve"> </w:t>
      </w:r>
      <w:r>
        <w:t xml:space="preserve">loads the fonts in the PDF preamble and, for</w:t>
      </w:r>
      <w:r>
        <w:t xml:space="preserve"> </w:t>
      </w:r>
      <w:r>
        <w:t xml:space="preserve">HTML, tells MathJax 4 to use its STIX Two math font.</w:t>
      </w:r>
    </w:p>
    <w:bookmarkEnd w:id="11"/>
    <w:bookmarkStart w:id="12" w:name="sec-plots"/>
    <w:p>
      <w:pPr>
        <w:pStyle w:val="Heading3"/>
      </w:pPr>
      <w:r>
        <w:t xml:space="preserve">Plots</w:t>
      </w:r>
    </w:p>
    <w:p>
      <w:pPr>
        <w:pStyle w:val="FirstParagraph"/>
      </w:pPr>
      <w:r>
        <w:t xml:space="preserve">The first code chunk in this file loads the local package</w:t>
      </w:r>
      <w:r>
        <w:t xml:space="preserve"> </w:t>
      </w:r>
      <w:r>
        <w:rPr>
          <w:rStyle w:val="VerbatimChar"/>
        </w:rPr>
        <w:t xml:space="preserve">revtexplot</w:t>
      </w:r>
      <w:r>
        <w:t xml:space="preserve">,</w:t>
      </w:r>
      <w:r>
        <w:t xml:space="preserve"> </w:t>
      </w:r>
      <w:r>
        <w:t xml:space="preserve">which styles matplotlib figures to match the PDF. It is switched on by</w:t>
      </w:r>
      <w:r>
        <w:t xml:space="preserve"> </w:t>
      </w:r>
      <w:r>
        <w:rPr>
          <w:rStyle w:val="VerbatimChar"/>
        </w:rPr>
        <w:t xml:space="preserve">plot-style: true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; set it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for matplotlib’s</w:t>
      </w:r>
      <w:r>
        <w:t xml:space="preserve"> </w:t>
      </w:r>
      <w:r>
        <w:t xml:space="preserve">defaults. Figures are one column wide by default and use 8 pt text, the</w:t>
      </w:r>
      <w:r>
        <w:t xml:space="preserve"> </w:t>
      </w:r>
      <w:r>
        <w:t xml:space="preserve">size of</w:t>
      </w:r>
      <w:r>
        <w:t xml:space="preserve"> </w:t>
      </w:r>
      <w:r>
        <w:rPr>
          <w:rStyle w:val="VerbatimChar"/>
        </w:rPr>
        <w:t xml:space="preserve">\footnotesize</w:t>
      </w:r>
      <w:r>
        <w:t xml:space="preserve">, in STIX Two (or Computer Modern with</w:t>
      </w:r>
      <w:r>
        <w:t xml:space="preserve"> </w:t>
      </w:r>
      <w:r>
        <w:rPr>
          <w:rStyle w:val="VerbatimChar"/>
        </w:rPr>
        <w:t xml:space="preserve">stix: false</w:t>
      </w:r>
      <w:r>
        <w:t xml:space="preserve">). They are saved at exactly their set size, so the text in</w:t>
      </w:r>
      <w:r>
        <w:t xml:space="preserve"> </w:t>
      </w:r>
      <w:r>
        <w:t xml:space="preserve">them matches the captions. The package provides these sizes: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rp.COLUMN</w:t>
      </w:r>
      <w:r>
        <w:t xml:space="preserve">: one column, 3.40 × 2.10 in (the default)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rp.WIDE</w:t>
      </w:r>
      <w:r>
        <w:t xml:space="preserve">: both columns, 7.06 × 2.35 in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rp.figsize(width, aspect)</w:t>
      </w:r>
      <w:r>
        <w:t xml:space="preserve">: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"column"</w:t>
      </w:r>
      <w:r>
        <w:t xml:space="preserve">,</w:t>
      </w:r>
      <w:r>
        <w:t xml:space="preserve"> </w:t>
      </w:r>
      <w:r>
        <w:rPr>
          <w:rStyle w:val="VerbatimChar"/>
        </w:rPr>
        <w:t xml:space="preserve">"wide"</w:t>
      </w:r>
      <w:r>
        <w:t xml:space="preserve"> </w:t>
      </w:r>
      <w:r>
        <w:t xml:space="preserve">or inches,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aspect</w:t>
      </w:r>
      <w:r>
        <w:t xml:space="preserve"> </w:t>
      </w:r>
      <w:r>
        <w:t xml:space="preserve">is height / width</w:t>
      </w:r>
    </w:p>
    <w:p>
      <w:pPr>
        <w:pStyle w:val="FirstParagraph"/>
      </w:pPr>
      <w:r>
        <w:t xml:space="preserve">For example,</w:t>
      </w:r>
      <w:r>
        <w:t xml:space="preserve"> </w:t>
      </w:r>
      <w:r>
        <w:rPr>
          <w:rStyle w:val="VerbatimChar"/>
        </w:rPr>
        <w:t xml:space="preserve">plt.subplots(figsize=rp.figsize("column", 1))</w:t>
      </w:r>
      <w:r>
        <w:t xml:space="preserve"> </w:t>
      </w:r>
      <w:r>
        <w:t xml:space="preserve">gives a</w:t>
      </w:r>
      <w:r>
        <w:t xml:space="preserve"> </w:t>
      </w:r>
      <w:r>
        <w:t xml:space="preserve">square one-column figure.</w:t>
      </w:r>
    </w:p>
    <w:bookmarkEnd w:id="12"/>
    <w:bookmarkStart w:id="13" w:name="writing"/>
    <w:p>
      <w:pPr>
        <w:pStyle w:val="Heading3"/>
      </w:pPr>
      <w:r>
        <w:t xml:space="preserve">Writing</w:t>
      </w:r>
    </w:p>
    <w:p>
      <w:pPr>
        <w:pStyle w:val="FirstParagraph"/>
      </w:pPr>
      <w:r>
        <w:t xml:space="preserve">Authors, affiliations, e-mail addresses and the abstract are set in the YAML</w:t>
      </w:r>
      <w:r>
        <w:t xml:space="preserve"> </w:t>
      </w:r>
      <w:r>
        <w:t xml:space="preserve">header. Sections, equations and figures get labels with the prefixes</w:t>
      </w:r>
      <w:r>
        <w:t xml:space="preserve"> </w:t>
      </w:r>
      <w:r>
        <w:rPr>
          <w:rStyle w:val="VerbatimChar"/>
        </w:rPr>
        <w:t xml:space="preserve">sec-</w:t>
      </w:r>
      <w:r>
        <w:t xml:space="preserve">,</w:t>
      </w:r>
      <w:r>
        <w:t xml:space="preserve"> </w:t>
      </w:r>
      <w:r>
        <w:rPr>
          <w:rStyle w:val="VerbatimChar"/>
        </w:rPr>
        <w:t xml:space="preserve">eq-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</w:t>
      </w:r>
      <w:r>
        <w:t xml:space="preserve">, and are referenced as</w:t>
      </w:r>
      <w:r>
        <w:t xml:space="preserve"> </w:t>
      </w:r>
      <w:r>
        <w:rPr>
          <w:rStyle w:val="VerbatimChar"/>
        </w:rPr>
        <w:t xml:space="preserve">@sec-methods</w:t>
      </w:r>
      <w:r>
        <w:t xml:space="preserve">,</w:t>
      </w:r>
      <w:r>
        <w:t xml:space="preserve"> </w:t>
      </w:r>
      <w:r>
        <w:rPr>
          <w:rStyle w:val="VerbatimChar"/>
        </w:rPr>
        <w:t xml:space="preserve">@eq-gaussian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 A displayed equation is labelled by</w:t>
      </w:r>
      <w:r>
        <w:t xml:space="preserve"> </w:t>
      </w:r>
      <w:r>
        <w:t xml:space="preserve">appending</w:t>
      </w:r>
      <w:r>
        <w:t xml:space="preserve"> </w:t>
      </w:r>
      <w:r>
        <w:rPr>
          <w:rStyle w:val="VerbatimChar"/>
        </w:rPr>
        <w:t xml:space="preserve">{#eq-name}</w:t>
      </w:r>
      <w:r>
        <w:t xml:space="preserve"> </w:t>
      </w:r>
      <w:r>
        <w:t xml:space="preserve">after its closing</w:t>
      </w:r>
      <w:r>
        <w:t xml:space="preserve"> </w:t>
      </w:r>
      <w:r>
        <w:rPr>
          <w:rStyle w:val="VerbatimChar"/>
        </w:rPr>
        <w:t xml:space="preserve">$$</w:t>
      </w:r>
      <w:r>
        <w:t xml:space="preserve">. Citations use keys from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, e.g. </w:t>
      </w:r>
      <w:r>
        <w:rPr>
          <w:rStyle w:val="VerbatimChar"/>
        </w:rPr>
        <w:t xml:space="preserve">[@knuth1984]</w:t>
      </w:r>
      <w:r>
        <w:t xml:space="preserve">, and are formatted by BibTeX with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apsrev4-2</w:t>
      </w:r>
      <w:r>
        <w:t xml:space="preserve"> </w:t>
      </w:r>
      <w:r>
        <w:t xml:space="preserve">style. Figures are produced by Python chunks whose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fig-cap</w:t>
      </w:r>
      <w:r>
        <w:t xml:space="preserve"> </w:t>
      </w:r>
      <w:r>
        <w:t xml:space="preserve">options set the reference and caption; see</w:t>
      </w:r>
      <w:r>
        <w:t xml:space="preserve"> </w:t>
      </w:r>
      <w:hyperlink w:anchor="sec-results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for an example.</w:t>
      </w:r>
    </w:p>
    <w:bookmarkEnd w:id="13"/>
    <w:bookmarkStart w:id="14" w:name="wide-figures-and-equations"/>
    <w:p>
      <w:pPr>
        <w:pStyle w:val="Heading3"/>
      </w:pPr>
      <w:r>
        <w:t xml:space="preserve">Wide figures and equations</w:t>
      </w:r>
    </w:p>
    <w:p>
      <w:pPr>
        <w:pStyle w:val="FirstParagraph"/>
      </w:pPr>
      <w:r>
        <w:t xml:space="preserve">In the two-column</w:t>
      </w:r>
      <w:r>
        <w:t xml:space="preserve"> </w:t>
      </w:r>
      <w:r>
        <w:rPr>
          <w:rStyle w:val="VerbatimChar"/>
        </w:rPr>
        <w:t xml:space="preserve">reprint</w:t>
      </w:r>
      <w:r>
        <w:t xml:space="preserve"> </w:t>
      </w:r>
      <w:r>
        <w:t xml:space="preserve">layout, a figure spans both columns when it</w:t>
      </w:r>
      <w:r>
        <w:t xml:space="preserve"> </w:t>
      </w:r>
      <w:r>
        <w:t xml:space="preserve">uses RevTeX’s</w:t>
      </w:r>
      <w:r>
        <w:t xml:space="preserve"> </w:t>
      </w:r>
      <w:r>
        <w:rPr>
          <w:rStyle w:val="VerbatimChar"/>
        </w:rPr>
        <w:t xml:space="preserve">figure*</w:t>
      </w:r>
      <w:r>
        <w:t xml:space="preserve"> </w:t>
      </w:r>
      <w:r>
        <w:t xml:space="preserve">environment. For a Python chunk, add the options</w:t>
      </w:r>
    </w:p>
    <w:p>
      <w:pPr>
        <w:pStyle w:val="SourceCode"/>
      </w:pPr>
      <w:r>
        <w:rPr>
          <w:rStyle w:val="CommentTok"/>
        </w:rPr>
        <w:t xml:space="preserve">#| fig-env: "figure*"</w:t>
      </w:r>
      <w:r>
        <w:br/>
      </w:r>
      <w:r>
        <w:rPr>
          <w:rStyle w:val="CommentTok"/>
        </w:rPr>
        <w:t xml:space="preserve">#| fig-pos: "t"</w:t>
      </w:r>
    </w:p>
    <w:p>
      <w:pPr>
        <w:pStyle w:val="FirstParagraph"/>
      </w:pPr>
      <w:r>
        <w:t xml:space="preserve">and create the figure with</w:t>
      </w:r>
      <w:r>
        <w:t xml:space="preserve"> </w:t>
      </w:r>
      <w:r>
        <w:rPr>
          <w:rStyle w:val="VerbatimChar"/>
        </w:rPr>
        <w:t xml:space="preserve">plt.subplots(figsize=rp.WIDE)</w:t>
      </w:r>
      <w:r>
        <w:t xml:space="preserve"> </w:t>
      </w:r>
      <w:r>
        <w:t xml:space="preserve">(see</w:t>
      </w:r>
      <w:r>
        <w:t xml:space="preserve"> </w:t>
      </w:r>
      <w:hyperlink w:anchor="sec-plots">
        <w:r>
          <w:rPr>
            <w:rStyle w:val="Hyperlink"/>
          </w:rPr>
          <w:t xml:space="preserve">Section 1.4</w:t>
        </w:r>
      </w:hyperlink>
      <w:r>
        <w:t xml:space="preserve">). For an image file, write</w:t>
      </w:r>
    </w:p>
    <w:p>
      <w:pPr>
        <w:pStyle w:val="SourceCode"/>
      </w:pPr>
      <w:r>
        <w:rPr>
          <w:rStyle w:val="AlertTok"/>
        </w:rPr>
        <w:t xml:space="preserve">![Caption.](figures/wide.pdf)</w:t>
      </w:r>
      <w:r>
        <w:rPr>
          <w:rStyle w:val="NormalTok"/>
        </w:rPr>
        <w:t xml:space="preserve">{#fig-wide</w:t>
      </w:r>
      <w:r>
        <w:br/>
      </w:r>
      <w:r>
        <w:rPr>
          <w:rStyle w:val="NormalTok"/>
        </w:rPr>
        <w:t xml:space="preserve">  fig-env="figure*" fig-pos="t"}</w:t>
      </w:r>
    </w:p>
    <w:p>
      <w:pPr>
        <w:pStyle w:val="FirstParagraph"/>
      </w:pPr>
      <w:r>
        <w:t xml:space="preserve">Wide figures float to the top of a following page. Always set</w:t>
      </w:r>
      <w:r>
        <w:t xml:space="preserve"> </w:t>
      </w:r>
      <w:r>
        <w:rPr>
          <w:rStyle w:val="VerbatimChar"/>
        </w:rPr>
        <w:t xml:space="preserve">fig-pos: "t"</w:t>
      </w:r>
      <w:r>
        <w:t xml:space="preserve">: Quarto places chunk figures with</w:t>
      </w:r>
      <w:r>
        <w:t xml:space="preserve"> </w:t>
      </w:r>
      <w:r>
        <w:rPr>
          <w:rStyle w:val="VerbatimChar"/>
        </w:rPr>
        <w:t xml:space="preserve">[H]</w:t>
      </w:r>
      <w:r>
        <w:t xml:space="preserve"> </w:t>
      </w:r>
      <w:r>
        <w:t xml:space="preserve">by default, which</w:t>
      </w:r>
      <w:r>
        <w:t xml:space="preserve"> </w:t>
      </w:r>
      <w:r>
        <w:t xml:space="preserve">makes a</w:t>
      </w:r>
      <w:r>
        <w:t xml:space="preserve"> </w:t>
      </w:r>
      <w:r>
        <w:rPr>
          <w:rStyle w:val="VerbatimChar"/>
        </w:rPr>
        <w:t xml:space="preserve">figure*</w:t>
      </w:r>
      <w:r>
        <w:t xml:space="preserve"> </w:t>
      </w:r>
      <w:r>
        <w:t xml:space="preserve">vanish from the PDF. Do not use</w:t>
      </w:r>
      <w:r>
        <w:t xml:space="preserve"> </w:t>
      </w:r>
      <w:r>
        <w:rPr>
          <w:rStyle w:val="VerbatimChar"/>
        </w:rPr>
        <w:t xml:space="preserve">column: page</w:t>
      </w:r>
      <w:r>
        <w:t xml:space="preserve">; it loads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sidenotes</w:t>
      </w:r>
      <w:r>
        <w:t xml:space="preserve"> </w:t>
      </w:r>
      <w:r>
        <w:t xml:space="preserve">package, which stops every</w:t>
      </w:r>
      <w:r>
        <w:t xml:space="preserve"> </w:t>
      </w:r>
      <w:r>
        <w:rPr>
          <w:rStyle w:val="VerbatimChar"/>
        </w:rPr>
        <w:t xml:space="preserve">figure*</w:t>
      </w:r>
      <w:r>
        <w:t xml:space="preserve"> </w:t>
      </w:r>
      <w:r>
        <w:t xml:space="preserve">from spanning both</w:t>
      </w:r>
      <w:r>
        <w:t xml:space="preserve"> </w:t>
      </w:r>
      <w:r>
        <w:t xml:space="preserve">columns.</w:t>
      </w:r>
    </w:p>
    <w:p>
      <w:pPr>
        <w:pStyle w:val="BodyText"/>
      </w:pPr>
      <w:r>
        <w:t xml:space="preserve">A long equation is set across both columns by wrapping it in RevTeX’s</w:t>
      </w:r>
      <w:r>
        <w:t xml:space="preserve"> </w:t>
      </w:r>
      <w:r>
        <w:rPr>
          <w:rStyle w:val="VerbatimChar"/>
        </w:rPr>
        <w:t xml:space="preserve">widetext</w:t>
      </w:r>
      <w:r>
        <w:t xml:space="preserve"> </w:t>
      </w:r>
      <w:r>
        <w:t xml:space="preserve">environment with raw LaTeX blocks:</w:t>
      </w:r>
    </w:p>
    <w:p>
      <w:pPr>
        <w:pStyle w:val="SourceCode"/>
      </w:pPr>
      <w:r>
        <w:rPr>
          <w:rStyle w:val="InformationTok"/>
        </w:rPr>
        <w:t xml:space="preserve">```{=latex}</w:t>
      </w:r>
      <w:r>
        <w:br/>
      </w:r>
      <w:r>
        <w:rPr>
          <w:rStyle w:val="InformationTok"/>
        </w:rPr>
        <w:t xml:space="preserve">\begin{widetext}</w:t>
      </w:r>
      <w:r>
        <w:br/>
      </w:r>
      <w:r>
        <w:rPr>
          <w:rStyle w:val="InformationTok"/>
        </w:rPr>
        <w:t xml:space="preserve">```</w:t>
      </w:r>
      <w:r>
        <w:br/>
      </w:r>
      <w:r>
        <w:rPr>
          <w:rStyle w:val="NormalTok"/>
        </w:rPr>
        <w:t xml:space="preserve">$$</w:t>
      </w:r>
      <w:r>
        <w:br/>
      </w:r>
      <w:r>
        <w:rPr>
          <w:rStyle w:val="NormalTok"/>
        </w:rPr>
        <w:t xml:space="preserve">E = \sum_n a_n x^n + \dots</w:t>
      </w:r>
      <w:r>
        <w:br/>
      </w:r>
      <w:r>
        <w:rPr>
          <w:rStyle w:val="NormalTok"/>
        </w:rPr>
        <w:t xml:space="preserve">$$ {#eq-wide}</w:t>
      </w:r>
      <w:r>
        <w:br/>
      </w:r>
      <w:r>
        <w:rPr>
          <w:rStyle w:val="InformationTok"/>
        </w:rPr>
        <w:t xml:space="preserve">```{=latex}</w:t>
      </w:r>
      <w:r>
        <w:br/>
      </w:r>
      <w:r>
        <w:rPr>
          <w:rStyle w:val="InformationTok"/>
        </w:rPr>
        <w:t xml:space="preserve">\end{widetext}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Labels and cross-references work as usual. The HTML output ignores</w:t>
      </w:r>
      <w:r>
        <w:t xml:space="preserve"> </w:t>
      </w:r>
      <w:r>
        <w:rPr>
          <w:rStyle w:val="VerbatimChar"/>
        </w:rPr>
        <w:t xml:space="preserve">fig-env</w:t>
      </w:r>
      <w:r>
        <w:t xml:space="preserve">,</w:t>
      </w:r>
      <w:r>
        <w:t xml:space="preserve"> </w:t>
      </w:r>
      <w:r>
        <w:rPr>
          <w:rStyle w:val="VerbatimChar"/>
        </w:rPr>
        <w:t xml:space="preserve">fig-pos</w:t>
      </w:r>
      <w:r>
        <w:t xml:space="preserve"> </w:t>
      </w:r>
      <w:r>
        <w:t xml:space="preserve">and the raw LaTeX, so both render normally there.</w:t>
      </w:r>
    </w:p>
    <w:bookmarkEnd w:id="14"/>
    <w:bookmarkEnd w:id="15"/>
    <w:bookmarkStart w:id="16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is placeholder text for the introduction. Literate programming</w:t>
      </w:r>
      <w:r>
        <w:t xml:space="preserve"> </w:t>
      </w:r>
      <w:r>
        <w:t xml:space="preserve">(Knuth 1984)</w:t>
      </w:r>
      <w:r>
        <w:t xml:space="preserve"> </w:t>
      </w:r>
      <w:r>
        <w:t xml:space="preserve">advocates weaving code and prose into a single document, an idea</w:t>
      </w:r>
      <w:r>
        <w:t xml:space="preserve"> </w:t>
      </w:r>
      <w:r>
        <w:t xml:space="preserve">that Quarto applies to scientific manuscripts. The typesetting itself is done</w:t>
      </w:r>
      <w:r>
        <w:t xml:space="preserve"> </w:t>
      </w:r>
      <w:r>
        <w:t xml:space="preserve">by TeX</w:t>
      </w:r>
      <w:r>
        <w:t xml:space="preserve"> </w:t>
      </w:r>
      <w:r>
        <w:t xml:space="preserve">(Knuth 1986)</w:t>
      </w:r>
      <w:r>
        <w:t xml:space="preserve"> </w:t>
      </w:r>
      <w:r>
        <w:t xml:space="preserve">and LaTeX</w:t>
      </w:r>
      <w:r>
        <w:t xml:space="preserve"> </w:t>
      </w:r>
      <w:r>
        <w:t xml:space="preserve">(Lamport 1994)</w:t>
      </w:r>
      <w:r>
        <w:t xml:space="preserve">. Multiple references can be</w:t>
      </w:r>
      <w:r>
        <w:t xml:space="preserve"> </w:t>
      </w:r>
      <w:r>
        <w:t xml:space="preserve">cited together</w:t>
      </w:r>
      <w:r>
        <w:t xml:space="preserve"> </w:t>
      </w:r>
      <w:r>
        <w:t xml:space="preserve">(Knuth 1984; Lamport 1994)</w:t>
      </w:r>
      <w:r>
        <w:t xml:space="preserve">.</w:t>
      </w:r>
    </w:p>
    <w:bookmarkEnd w:id="16"/>
    <w:bookmarkStart w:id="22" w:name="sec-methods"/>
    <w:p>
      <w:pPr>
        <w:pStyle w:val="Heading2"/>
      </w:pPr>
      <w:r>
        <w:t xml:space="preserve">Methods</w:t>
      </w:r>
    </w:p>
    <w:bookmarkStart w:id="18" w:name="inline-and-displayed-mathematics"/>
    <w:p>
      <w:pPr>
        <w:pStyle w:val="Heading3"/>
      </w:pPr>
      <w:r>
        <w:t xml:space="preserve">Inline and displayed mathematics</w:t>
      </w:r>
    </w:p>
    <w:p>
      <w:pPr>
        <w:pStyle w:val="FirstParagraph"/>
      </w:pPr>
      <w:r>
        <w:t xml:space="preserve">Inline mathematics is written between single dollar signs, as in</w:t>
      </w:r>
      <w:r>
        <w:t xml:space="preserve"> </w:t>
      </w:r>
      <m:oMath>
        <m:sSup>
          <m:e>
            <m:r>
              <m:t>e</m:t>
            </m:r>
          </m:e>
          <m:sup>
            <m:r>
              <m:t>i</m:t>
            </m:r>
            <m:r>
              <m:t>π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 Displayed equations are written between double dollar</w:t>
      </w:r>
      <w:r>
        <w:t xml:space="preserve"> </w:t>
      </w:r>
      <w:r>
        <w:t xml:space="preserve">signs and numbered when given a label, as for the Gaussian integral</w:t>
      </w:r>
    </w:p>
    <w:p>
      <w:pPr>
        <w:pStyle w:val="BodyText"/>
      </w:pPr>
      <w:bookmarkStart w:id="17" w:name="eq-gaussian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a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multi-line-equations"/>
    <w:p>
      <w:pPr>
        <w:pStyle w:val="Heading3"/>
      </w:pPr>
      <w:r>
        <w:t xml:space="preserve">Multi-line equations</w:t>
      </w:r>
    </w:p>
    <w:p>
      <w:pPr>
        <w:pStyle w:val="FirstParagraph"/>
      </w:pPr>
      <w:r>
        <w:t xml:space="preserve">Long expressions can be split with an</w:t>
      </w:r>
      <w:r>
        <w:t xml:space="preserve"> </w:t>
      </w:r>
      <w:r>
        <w:rPr>
          <w:rStyle w:val="VerbatimChar"/>
        </w:rPr>
        <w:t xml:space="preserve">aligned</w:t>
      </w:r>
      <w:r>
        <w:t xml:space="preserve"> </w:t>
      </w:r>
      <w:r>
        <w:t xml:space="preserve">environment inside a single</w:t>
      </w:r>
      <w:r>
        <w:t xml:space="preserve"> </w:t>
      </w:r>
      <w:r>
        <w:t xml:space="preserve">labelled equation,</w:t>
      </w:r>
    </w:p>
    <w:p>
      <w:pPr>
        <w:pStyle w:val="BodyText"/>
      </w:pPr>
      <w:bookmarkStart w:id="19" w:name="eq-taylor"/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script"/>
                  <m:sty m:val="p"/>
                </m:rPr>
                <m:t>O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cross-references"/>
    <w:p>
      <w:pPr>
        <w:pStyle w:val="Heading3"/>
      </w:pPr>
      <w:r>
        <w:t xml:space="preserve">Cross-references</w:t>
      </w:r>
    </w:p>
    <w:p>
      <w:pPr>
        <w:pStyle w:val="FirstParagraph"/>
      </w:pPr>
      <w:r>
        <w:t xml:space="preserve">Equations are referenced as</w:t>
      </w:r>
      <w:r>
        <w:t xml:space="preserve"> </w:t>
      </w:r>
      <w:hyperlink w:anchor="eq-gaussian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eq-taylor">
        <w:r>
          <w:rPr>
            <w:rStyle w:val="Hyperlink"/>
          </w:rPr>
          <w:t xml:space="preserve">Equation 2</w:t>
        </w:r>
      </w:hyperlink>
      <w:r>
        <w:t xml:space="preserve">, sections as</w:t>
      </w:r>
      <w:r>
        <w:t xml:space="preserve"> </w:t>
      </w:r>
      <w:hyperlink w:anchor="sec-results">
        <w:r>
          <w:rPr>
            <w:rStyle w:val="Hyperlink"/>
          </w:rPr>
          <w:t xml:space="preserve">Section 4</w:t>
        </w:r>
      </w:hyperlink>
      <w:r>
        <w:t xml:space="preserve">, and figures as</w:t>
      </w:r>
      <w:r>
        <w:t xml:space="preserve"> </w:t>
      </w:r>
      <w:hyperlink w:anchor="fig-example">
        <w:r>
          <w:rPr>
            <w:rStyle w:val="Hyperlink"/>
          </w:rPr>
          <w:t xml:space="preserve">Figure 1</w:t>
        </w:r>
      </w:hyperlink>
      <w:r>
        <w:t xml:space="preserve">. The numbers are assigned</w:t>
      </w:r>
      <w:r>
        <w:t xml:space="preserve"> </w:t>
      </w:r>
      <w:r>
        <w:t xml:space="preserve">automatically in every output format.</w:t>
      </w:r>
    </w:p>
    <w:bookmarkEnd w:id="21"/>
    <w:bookmarkEnd w:id="22"/>
    <w:bookmarkStart w:id="32" w:name="sec-results"/>
    <w:p>
      <w:pPr>
        <w:pStyle w:val="Heading2"/>
      </w:pPr>
      <w:r>
        <w:t xml:space="preserve">Results</w:t>
      </w:r>
    </w:p>
    <w:p>
      <w:pPr>
        <w:pStyle w:val="FirstParagraph"/>
      </w:pPr>
      <w:hyperlink w:anchor="fig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generated by the Python code chunk embedded in the source</w:t>
      </w:r>
      <w:r>
        <w:t xml:space="preserve"> </w:t>
      </w:r>
      <w:r>
        <w:t xml:space="preserve">file. It shows the damped oscillation</w:t>
      </w:r>
    </w:p>
    <w:p>
      <w:pPr>
        <w:pStyle w:val="BodyText"/>
      </w:pPr>
      <w:bookmarkStart w:id="23" w:name="eq-damped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γ</m:t>
              </m:r>
              <m:r>
                <m:t>t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ω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for three values of the damping rate</w:t>
      </w:r>
      <w:r>
        <w:t xml:space="preserve"> </w:t>
      </w:r>
      <m:oMath>
        <m:r>
          <m:t>γ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example"/>
          <w:p>
            <w:pPr>
              <w:pStyle w:val="Compact"/>
              <w:jc w:val="center"/>
            </w:pPr>
            <w:r>
              <w:drawing>
                <wp:inline>
                  <wp:extent cx="3105150" cy="1914525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output-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19145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Damped oscillations for three values of the damping rate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ω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BodyText"/>
      </w:pPr>
      <w:hyperlink w:anchor="fig-wide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spans both columns and shows each damping rate in its own panel.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wide"/>
          <w:p>
            <w:pPr>
              <w:pStyle w:val="Compact"/>
              <w:jc w:val="center"/>
            </w:pPr>
            <w:r>
              <w:drawing>
                <wp:inline>
                  <wp:extent cx="5334000" cy="1772747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wide-output-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7727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oscillations of</w:t>
            </w:r>
            <w:r>
              <w:t xml:space="preserve"> </w:t>
            </w:r>
            <w:hyperlink w:anchor="fig-example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their envelopes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γ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(dashed).</w:t>
            </w:r>
          </w:p>
          <w:bookmarkEnd w:id="31"/>
        </w:tc>
      </w:tr>
    </w:tbl>
    <w:bookmarkEnd w:id="32"/>
    <w:bookmarkStart w:id="3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is placeholder text for the conclusion. Replace the contents of this</w:t>
      </w:r>
      <w:r>
        <w:t xml:space="preserve"> </w:t>
      </w:r>
      <w:r>
        <w:t xml:space="preserve">file with your own manuscript, keeping</w:t>
      </w:r>
      <w:r>
        <w:t xml:space="preserve"> </w:t>
      </w:r>
      <w:hyperlink w:anchor="sec-workflow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as a reference until</w:t>
      </w:r>
      <w:r>
        <w:t xml:space="preserve"> </w:t>
      </w:r>
      <w:r>
        <w:t xml:space="preserve">submission.</w:t>
      </w:r>
    </w:p>
    <w:bookmarkStart w:id="37" w:name="refs"/>
    <w:bookmarkStart w:id="34" w:name="ref-knuth19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27 (2): 97–111.</w:t>
      </w:r>
      <w:r>
        <w:t xml:space="preserve"> </w:t>
      </w:r>
      <w:hyperlink r:id="rId3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34"/>
    <w:bookmarkStart w:id="35" w:name="ref-knuth1986"/>
    <w:p>
      <w:pPr>
        <w:pStyle w:val="Bibliography"/>
      </w:pPr>
      <w:r>
        <w:t xml:space="preserve">Knuth, Donald E. 1986.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TeX</w:t>
      </w:r>
      <w:r>
        <w:rPr>
          <w:i/>
          <w:iCs/>
        </w:rPr>
        <w:t xml:space="preserve">book</w:t>
      </w:r>
      <w:r>
        <w:t xml:space="preserve">. Addison-Wesley.</w:t>
      </w:r>
    </w:p>
    <w:bookmarkEnd w:id="35"/>
    <w:bookmarkStart w:id="36" w:name="ref-lamport1994"/>
    <w:p>
      <w:pPr>
        <w:pStyle w:val="Bibliography"/>
      </w:pPr>
      <w:r>
        <w:t xml:space="preserve">Lamport, Leslie. 1994.</w:t>
      </w:r>
      <w:r>
        <w:t xml:space="preserve"> </w:t>
      </w:r>
      <w:r>
        <w:rPr>
          <w:i/>
          <w:iCs/>
        </w:rPr>
        <w:t xml:space="preserve">LaTeX</w:t>
      </w:r>
      <w:r>
        <w:rPr>
          <w:i/>
          <w:iCs/>
        </w:rPr>
        <w:t xml:space="preserve">: A Document Preparation System</w:t>
      </w:r>
      <w:r>
        <w:t xml:space="preserve">. 2nd ed. Addison-Wesley.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hyperlink" Id="rId33" Target="https://doi.org/10.1093/comjnl/27.2.9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i.org/10.1093/comjnl/27.2.9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Quarto manuscript template for RevTeX</dc:title>
  <dc:creator/>
  <cp:keywords/>
  <dcterms:created xsi:type="dcterms:W3CDTF">2026-09-30T04:37:46Z</dcterms:created>
  <dcterms:modified xsi:type="dcterms:W3CDTF">2026-09-30T04:37:46Z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placeholder abstract. The document demonstrates the features of a Quarto manuscript project that renders a RevTeX PDF: author and affiliation metadata, numbered sections and equations, cross-references, citations, and figures generated from Python code.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lear-hidden-classes">
    <vt:lpwstr>none</vt:lpwstr>
  </property>
  <property fmtid="{D5CDD505-2E9C-101B-9397-08002B2CF9AE}" pid="10" name="engines">
    <vt:lpwstr/>
  </property>
  <property fmtid="{D5CDD505-2E9C-101B-9397-08002B2CF9AE}" pid="11" name="google-scholar">
    <vt:lpwstr>True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jupyter">
    <vt:lpwstr>python3</vt:lpwstr>
  </property>
  <property fmtid="{D5CDD505-2E9C-101B-9397-08002B2CF9AE}" pid="16" name="labels">
    <vt:lpwstr/>
  </property>
  <property fmtid="{D5CDD505-2E9C-101B-9397-08002B2CF9AE}" pid="17" name="lightbox">
    <vt:lpwstr>auto</vt:lpwstr>
  </property>
  <property fmtid="{D5CDD505-2E9C-101B-9397-08002B2CF9AE}" pid="18" name="manuscript">
    <vt:lpwstr/>
  </property>
  <property fmtid="{D5CDD505-2E9C-101B-9397-08002B2CF9AE}" pid="19" name="notebook-preview-options">
    <vt:lpwstr/>
  </property>
  <property fmtid="{D5CDD505-2E9C-101B-9397-08002B2CF9AE}" pid="20" name="plot-style">
    <vt:lpwstr>True</vt:lpwstr>
  </property>
  <property fmtid="{D5CDD505-2E9C-101B-9397-08002B2CF9AE}" pid="21" name="quarto-internal">
    <vt:lpwstr/>
  </property>
  <property fmtid="{D5CDD505-2E9C-101B-9397-08002B2CF9AE}" pid="22" name="remove-hidden">
    <vt:lpwstr>all</vt:lpwstr>
  </property>
  <property fmtid="{D5CDD505-2E9C-101B-9397-08002B2CF9AE}" pid="23" name="stix">
    <vt:lpwstr>True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