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Bureau</w:t>
      </w:r>
      <w:r>
        <w:t xml:space="preserve"> </w:t>
      </w:r>
      <w:r>
        <w:t xml:space="preserve">of</w:t>
      </w:r>
      <w:r>
        <w:t xml:space="preserve"> </w:t>
      </w:r>
      <w:r>
        <w:t xml:space="preserve">Statistics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Competition</w:t>
      </w:r>
      <w:r>
        <w:t xml:space="preserve"> </w:t>
      </w:r>
      <w:r>
        <w:t xml:space="preserve">2023</w:t>
      </w:r>
      <w:r>
        <w:br/>
      </w:r>
      <w:r>
        <w:t xml:space="preserve">based</w:t>
      </w:r>
      <w:r>
        <w:t xml:space="preserve"> </w:t>
      </w:r>
      <w:r>
        <w:t xml:space="preserve">on</w:t>
      </w:r>
      <w:r>
        <w:br/>
      </w:r>
      <w:r>
        <w:t xml:space="preserve">Multiple</w:t>
      </w:r>
      <w:r>
        <w:t xml:space="preserve"> </w:t>
      </w:r>
      <w:r>
        <w:t xml:space="preserve">Indicator</w:t>
      </w:r>
      <w:r>
        <w:t xml:space="preserve"> </w:t>
      </w:r>
      <w:r>
        <w:t xml:space="preserve">Cluster</w:t>
      </w:r>
      <w:r>
        <w:t xml:space="preserve"> </w:t>
      </w:r>
      <w:r>
        <w:t xml:space="preserve">Survey</w:t>
      </w:r>
    </w:p>
    <w:p>
      <w:pPr>
        <w:pStyle w:val="Author"/>
      </w:pPr>
      <w:r>
        <w:t xml:space="preserve">Simeon</w:t>
      </w:r>
      <w:r>
        <w:t xml:space="preserve"> </w:t>
      </w:r>
      <w:r>
        <w:t xml:space="preserve">Chester</w:t>
      </w:r>
    </w:p>
    <w:p>
      <w:pPr>
        <w:pStyle w:val="Heading1"/>
      </w:pPr>
      <w:bookmarkStart w:id="20" w:name="introdution"/>
      <w:r>
        <w:t xml:space="preserve">Introdution</w:t>
      </w:r>
      <w:bookmarkEnd w:id="20"/>
    </w:p>
    <w:p>
      <w:pPr>
        <w:pStyle w:val="FirstParagraph"/>
      </w:pPr>
      <w:r>
        <w:t xml:space="preserve">This paper is based on an analysis of men and women between 15 to 49 years of</w:t>
      </w:r>
      <w:r>
        <w:t xml:space="preserve"> </w:t>
      </w:r>
      <w:r>
        <w:t xml:space="preserve">age with emphasis on the highest level of school attended for the two groups in</w:t>
      </w:r>
      <w:r>
        <w:t xml:space="preserve"> </w:t>
      </w:r>
      <w:r>
        <w:t xml:space="preserve">the urban and rural areas. According, to the World Bank</w:t>
      </w:r>
      <w:r>
        <w:rPr>
          <w:rStyle w:val="FootnoteReference"/>
        </w:rPr>
        <w:footnoteReference w:id="21"/>
      </w:r>
      <w:r>
        <w:t xml:space="preserve">,</w:t>
      </w:r>
      <w:r>
        <w:t xml:space="preserve"> </w:t>
      </w:r>
      <w:r>
        <w:t xml:space="preserve">approximately 70% of Guyana’s population live in the rural areas. Although a</w:t>
      </w:r>
      <w:r>
        <w:t xml:space="preserve"> </w:t>
      </w:r>
      <w:r>
        <w:t xml:space="preserve">large proportion of the population live in rural areas, from</w:t>
      </w:r>
      <w:r>
        <w:t xml:space="preserve"> </w:t>
      </w:r>
      <w:r>
        <w:t xml:space="preserve">experience and observations, education opportunities and social importance</w:t>
      </w:r>
      <w:r>
        <w:t xml:space="preserve"> </w:t>
      </w:r>
      <w:r>
        <w:t xml:space="preserve">are higher in urban areas than they are in rural areas. One of the objectives</w:t>
      </w:r>
      <w:r>
        <w:t xml:space="preserve"> </w:t>
      </w:r>
      <w:r>
        <w:t xml:space="preserve">of this analysis was to prove this dissonance empirically.</w:t>
      </w:r>
    </w:p>
    <w:p>
      <w:pPr>
        <w:pStyle w:val="Heading1"/>
      </w:pPr>
      <w:bookmarkStart w:id="22" w:name="data-and-descriptive-statistics"/>
      <w:r>
        <w:t xml:space="preserve">Data and Descriptive Statistics</w:t>
      </w:r>
      <w:bookmarkEnd w:id="22"/>
    </w:p>
    <w:p>
      <w:pPr>
        <w:pStyle w:val="Heading2"/>
      </w:pPr>
      <w:bookmarkStart w:id="23" w:name="data-collection"/>
      <w:r>
        <w:t xml:space="preserve">Data Collection</w:t>
      </w:r>
      <w:bookmarkEnd w:id="23"/>
    </w:p>
    <w:p>
      <w:pPr>
        <w:pStyle w:val="FirstParagraph"/>
      </w:pPr>
      <w:r>
        <w:t xml:space="preserve">For this study, the dataset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was based on a Multiple</w:t>
      </w:r>
      <w:r>
        <w:t xml:space="preserve"> </w:t>
      </w:r>
      <w:r>
        <w:t xml:space="preserve">Indicator Cluster Survey</w:t>
      </w:r>
      <w:r>
        <w:t xml:space="preserve"> </w:t>
      </w:r>
      <w:r>
        <w:t xml:space="preserve">(MICS6) conducted in 2018 by the Bureau of Statistics in collaboration with</w:t>
      </w:r>
      <w:r>
        <w:t xml:space="preserve"> </w:t>
      </w:r>
      <w:r>
        <w:t xml:space="preserve">United Nations Children’s Fund (UNICEF) with a sample size of 8700 households</w:t>
      </w:r>
      <w:r>
        <w:t xml:space="preserve"> </w:t>
      </w:r>
      <w:r>
        <w:t xml:space="preserve">in Guyana</w:t>
      </w:r>
      <w:r>
        <w:t xml:space="preserve"> </w:t>
      </w:r>
      <w:r>
        <w:t xml:space="preserve">distributed country wide in both urban and rural areas.</w:t>
      </w:r>
    </w:p>
    <w:p>
      <w:pPr>
        <w:pStyle w:val="BodyText"/>
      </w:pPr>
      <w:r>
        <w:t xml:space="preserve">The datasets used for this particular study were:</w:t>
      </w:r>
    </w:p>
    <w:p>
      <w:pPr>
        <w:numPr>
          <w:ilvl w:val="0"/>
          <w:numId w:val="1001"/>
        </w:numPr>
      </w:pPr>
      <w:r>
        <w:t xml:space="preserve">wm_Women 15 to 49_Stat_Day Data Set for Surveyed Women in</w:t>
      </w:r>
      <w:r>
        <w:t xml:space="preserve"> </w:t>
      </w:r>
      <w:r>
        <w:t xml:space="preserve">Reproductive</w:t>
      </w:r>
      <w:r>
        <w:t xml:space="preserve"> </w:t>
      </w:r>
      <w:r>
        <w:t xml:space="preserve">age range 15</w:t>
      </w:r>
    </w:p>
    <w:p>
      <w:pPr>
        <w:numPr>
          <w:ilvl w:val="0"/>
          <w:numId w:val="1001"/>
        </w:numPr>
      </w:pPr>
      <w:r>
        <w:t xml:space="preserve">mn_Males 15 to 49_Stat_Day Data Set for Surveyed Men in</w:t>
      </w:r>
      <w:r>
        <w:t xml:space="preserve"> </w:t>
      </w:r>
      <w:r>
        <w:t xml:space="preserve">Reproductive</w:t>
      </w:r>
      <w:r>
        <w:t xml:space="preserve"> </w:t>
      </w:r>
      <w:r>
        <w:t xml:space="preserve">age Range 15</w:t>
      </w:r>
    </w:p>
    <w:p>
      <w:pPr>
        <w:numPr>
          <w:ilvl w:val="0"/>
          <w:numId w:val="1001"/>
        </w:numPr>
      </w:pPr>
      <w:r>
        <w:t xml:space="preserve">hh_Household_Stat_Day Data Set for Surveyed Households</w:t>
      </w:r>
    </w:p>
    <w:p>
      <w:pPr>
        <w:pStyle w:val="Heading2"/>
      </w:pPr>
      <w:bookmarkStart w:id="25" w:name="data-preprocessing"/>
      <w:r>
        <w:t xml:space="preserve">Data Preprocessing</w:t>
      </w:r>
      <w:bookmarkEnd w:id="25"/>
    </w:p>
    <w:p>
      <w:pPr>
        <w:pStyle w:val="FirstParagraph"/>
      </w:pPr>
      <w:r>
        <w:t xml:space="preserve">All data was processed using the Python programming language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t xml:space="preserve">modules used</w:t>
      </w:r>
      <w:r>
        <w:t xml:space="preserve"> </w:t>
      </w:r>
      <w:r>
        <w:t xml:space="preserve">in Python were seaborn</w:t>
      </w:r>
      <w:r>
        <w:t xml:space="preserve"> </w:t>
      </w:r>
      <w:r>
        <w:rPr>
          <w:rStyle w:val="FootnoteReference"/>
        </w:rPr>
        <w:footnoteReference w:id="27"/>
      </w:r>
      <w:r>
        <w:t xml:space="preserve">, matplotlib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and</w:t>
      </w:r>
      <w:r>
        <w:t xml:space="preserve"> </w:t>
      </w:r>
      <w:r>
        <w:t xml:space="preserve">pandas</w:t>
      </w:r>
      <w:r>
        <w:t xml:space="preserve"> </w:t>
      </w:r>
      <w:r>
        <w:rPr>
          <w:rStyle w:val="FootnoteReference"/>
        </w:rPr>
        <w:footnoteReference w:id="29"/>
      </w:r>
      <w:r>
        <w:t xml:space="preserve">. This document has also been</w:t>
      </w:r>
      <w:r>
        <w:t xml:space="preserve"> </w:t>
      </w:r>
      <w:r>
        <w:t xml:space="preserve">typset using LaTeX.</w:t>
      </w:r>
    </w:p>
    <w:p>
      <w:pPr>
        <w:pStyle w:val="BodyText"/>
      </w:pPr>
      <w:r>
        <w:t xml:space="preserve">For the men and women data, to get the region and area values, the cluster</w:t>
      </w:r>
      <w:r>
        <w:t xml:space="preserve"> </w:t>
      </w:r>
      <w:r>
        <w:t xml:space="preserve">number and household number had to be searched for</w:t>
      </w:r>
      <w:r>
        <w:t xml:space="preserve"> </w:t>
      </w:r>
      <w:r>
        <w:t xml:space="preserve">in the household dataset, with the region and area values extracted from</w:t>
      </w:r>
      <w:r>
        <w:t xml:space="preserve"> </w:t>
      </w:r>
      <w:r>
        <w:t xml:space="preserve">the matched rows.</w:t>
      </w:r>
    </w:p>
    <w:p>
      <w:pPr>
        <w:pStyle w:val="BodyText"/>
      </w:pPr>
      <w:r>
        <w:t xml:space="preserve">The total respondents per region for each region area had to also be calculated</w:t>
      </w:r>
      <w:r>
        <w:t xml:space="preserve"> </w:t>
      </w:r>
      <w:r>
        <w:t xml:space="preserve">to</w:t>
      </w:r>
      <w:r>
        <w:t xml:space="preserve"> </w:t>
      </w:r>
      <w:r>
        <w:t xml:space="preserve">get the</w:t>
      </w:r>
      <w:r>
        <w:t xml:space="preserve"> </w:t>
      </w:r>
      <w:r>
        <w:t xml:space="preserve">averages of each school level in each region by area. However, before doing</w:t>
      </w:r>
      <w:r>
        <w:t xml:space="preserve"> </w:t>
      </w:r>
      <w:r>
        <w:t xml:space="preserve">this,</w:t>
      </w:r>
      <w:r>
        <w:t xml:space="preserve"> </w:t>
      </w:r>
      <w:r>
        <w:t xml:space="preserve">all null and not-available values had to be filtered so the total and averages</w:t>
      </w:r>
      <w:r>
        <w:t xml:space="preserve"> </w:t>
      </w:r>
      <w:r>
        <w:t xml:space="preserve">were not skewed/distorted.</w:t>
      </w:r>
    </w:p>
    <w:p>
      <w:pPr>
        <w:pStyle w:val="BodyText"/>
      </w:pPr>
      <w:r>
        <w:t xml:space="preserve">All data and source files used in this analysis have been uploaded to a public</w:t>
      </w:r>
      <w:r>
        <w:t xml:space="preserve"> </w:t>
      </w:r>
      <w:r>
        <w:t xml:space="preserve">Github repository.</w:t>
      </w:r>
      <w:r>
        <w:t xml:space="preserve"> </w:t>
      </w:r>
      <w:r>
        <w:t xml:space="preserve">The Jupyter Notebook contained in the Github repository explicitly explains the</w:t>
      </w:r>
      <w:r>
        <w:t xml:space="preserve"> </w:t>
      </w:r>
      <w:r>
        <w:t xml:space="preserve">steps taken to clean and shape the data and produce the figures</w:t>
      </w:r>
      <w:r>
        <w:t xml:space="preserve"> 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Heading2"/>
      </w:pPr>
      <w:bookmarkStart w:id="31" w:name="final-processed-data"/>
      <w:r>
        <w:t xml:space="preserve">Final Processed Data</w:t>
      </w:r>
      <w:bookmarkEnd w:id="31"/>
    </w:p>
    <w:p>
      <w:pPr>
        <w:pStyle w:val="Heading3"/>
      </w:pPr>
      <w:bookmarkStart w:id="32" w:name="tables"/>
      <w:r>
        <w:t xml:space="preserve">Tables</w:t>
      </w:r>
      <w:bookmarkEnd w:id="32"/>
    </w:p>
    <w:bookmarkStart w:id="33" w:name="tab:male"/>
    <w:p>
      <w:pPr>
        <w:pStyle w:val="TableCaption"/>
      </w:pPr>
      <w:r>
        <w:t xml:space="preserve">Table showing highest level of school attended by male respondents</w:t>
      </w:r>
      <w:r>
        <w:t xml:space="preserve"> </w:t>
      </w:r>
      <w:r>
        <w:t xml:space="preserve">per Region Area</w:t>
      </w:r>
    </w:p>
    <w:tbl>
      <w:tblPr>
        <w:tblStyle w:val="Table"/>
        <w:tblW w:type="pct" w:w="0.0"/>
        <w:tblLook w:firstRow="0"/>
        <w:tblCaption w:val="Table showing highest level of school attended by male respondents per Region Area"/>
      </w:tblPr>
      <w:tblGrid/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Region Area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Don’t Know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Don’t Know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Nursery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Nursery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Nursery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Don’t Know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Nursery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Don’t Know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Nursery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Don’t Know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3"/>
    <w:p>
      <w:pPr>
        <w:pStyle w:val="TableCaption"/>
      </w:pPr>
      <w:r>
        <w:t xml:space="preserve">Table showing highest level of school attended by female</w:t>
      </w:r>
      <w:r>
        <w:t xml:space="preserve"> </w:t>
      </w:r>
      <w:r>
        <w:t xml:space="preserve">respondents</w:t>
      </w:r>
      <w:r>
        <w:t xml:space="preserve"> </w:t>
      </w:r>
      <w:r>
        <w:t xml:space="preserve">per Region Area</w:t>
      </w:r>
    </w:p>
    <w:tbl>
      <w:tblPr>
        <w:tblStyle w:val="Table"/>
        <w:tblW w:type="pct" w:w="0.0"/>
        <w:tblLook w:firstRow="0"/>
        <w:tblCaption w:val="Table showing highest level of school attended by female respondents per Region Area"/>
      </w:tblPr>
      <w:tblGrid/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Region Area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Don’t Know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Don’t Know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Don’t Know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Nursery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Don’t Know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Don’t Know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Don’t Know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Nursery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Don’t Know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Nursery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Don’t Know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Nursery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Primary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Lower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 Secondary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rural</w:t>
            </w:r>
          </w:p>
        </w:tc>
        <w:tc>
          <w:p>
            <w:pPr>
              <w:pStyle w:val="Compact"/>
              <w:jc w:val="center"/>
            </w:pPr>
            <w:r>
              <w:t xml:space="preserve">Higher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Start w:id="34" w:name="tab:male_female_average"/>
    <w:p>
      <w:pPr>
        <w:pStyle w:val="TableCaption"/>
      </w:pPr>
      <w:r>
        <w:t xml:space="preserve">Table showing highest level of school attended per each area</w:t>
      </w:r>
      <w:r>
        <w:t xml:space="preserve"> </w:t>
      </w:r>
      <w:r>
        <w:t xml:space="preserve">by Gender</w:t>
      </w:r>
    </w:p>
    <w:tbl>
      <w:tblPr>
        <w:tblStyle w:val="Table"/>
        <w:tblW w:type="pct" w:w="0.0"/>
        <w:tblLook w:firstRow="0"/>
        <w:tblCaption w:val="Table showing highest level of school attended per each area by Gender"/>
      </w:tblPr>
      <w:tblGrid/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nursery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lower secondary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higher secondary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don’t know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bookmarkEnd w:id="34"/>
    <w:p>
      <w:pPr>
        <w:pStyle w:val="Heading3"/>
      </w:pPr>
      <w:bookmarkStart w:id="35" w:name="figures"/>
      <w:r>
        <w:t xml:space="preserve">Figures</w:t>
      </w:r>
      <w:bookmarkEnd w:id="35"/>
    </w:p>
    <w:p>
      <w:pPr>
        <w:pStyle w:val="CaptionedFigure"/>
      </w:pPr>
      <w:bookmarkStart w:id="37" w:name="fig:male_attendance"/>
      <w:r>
        <w:drawing>
          <wp:inline>
            <wp:extent cx="5334000" cy="4479619"/>
            <wp:effectExtent b="0" l="0" r="0" t="0"/>
            <wp:docPr descr="Graph showing highest level of school atttended for male respondents per region in each area" title="" id="1" name="Picture"/>
            <a:graphic>
              <a:graphicData uri="http://schemas.openxmlformats.org/drawingml/2006/picture">
                <pic:pic>
                  <pic:nvPicPr>
                    <pic:cNvPr descr="graphics/male_highest_school_attend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9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Graph showing highest level of school atttended for male</w:t>
      </w:r>
      <w:r>
        <w:t xml:space="preserve"> </w:t>
      </w:r>
      <w:r>
        <w:t xml:space="preserve">respondents per region in each area</w:t>
      </w:r>
    </w:p>
    <w:p>
      <w:pPr>
        <w:pStyle w:val="CaptionedFigure"/>
      </w:pPr>
      <w:bookmarkStart w:id="39" w:name="fig:female_attendance"/>
      <w:r>
        <w:drawing>
          <wp:inline>
            <wp:extent cx="5334000" cy="4510972"/>
            <wp:effectExtent b="0" l="0" r="0" t="0"/>
            <wp:docPr descr="Graph showing highest level of school atttended for female respondents per region in each area" title="" id="1" name="Picture"/>
            <a:graphic>
              <a:graphicData uri="http://schemas.openxmlformats.org/drawingml/2006/picture">
                <pic:pic>
                  <pic:nvPicPr>
                    <pic:cNvPr descr="graphics/female_highest_school_attend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Graph showing highest level of school atttended for female</w:t>
      </w:r>
      <w:r>
        <w:t xml:space="preserve"> </w:t>
      </w:r>
      <w:r>
        <w:t xml:space="preserve">respondents per region in each area</w:t>
      </w:r>
    </w:p>
    <w:p>
      <w:pPr>
        <w:pStyle w:val="CaptionedFigure"/>
      </w:pPr>
      <w:bookmarkStart w:id="41" w:name="fig:male_female_average"/>
      <w:r>
        <w:drawing>
          <wp:inline>
            <wp:extent cx="5334000" cy="4195913"/>
            <wp:effectExtent b="0" l="0" r="0" t="0"/>
            <wp:docPr descr="Graph showing highest level of school attended by area and gender per area total" title="" id="1" name="Picture"/>
            <a:graphic>
              <a:graphicData uri="http://schemas.openxmlformats.org/drawingml/2006/picture">
                <pic:pic>
                  <pic:nvPicPr>
                    <pic:cNvPr descr="graphics/male_female_attendance_averag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Graph showing highest level of school attended by area and gender</w:t>
      </w:r>
      <w:r>
        <w:t xml:space="preserve"> </w:t>
      </w:r>
      <w:r>
        <w:t xml:space="preserve">per area total</w:t>
      </w:r>
    </w:p>
    <w:p>
      <w:pPr>
        <w:pStyle w:val="Heading1"/>
      </w:pPr>
      <w:bookmarkStart w:id="42" w:name="discussion"/>
      <w:r>
        <w:t xml:space="preserve">Discussion</w:t>
      </w:r>
      <w:bookmarkEnd w:id="42"/>
    </w:p>
    <w:p>
      <w:pPr>
        <w:pStyle w:val="Heading2"/>
      </w:pPr>
      <w:bookmarkStart w:id="43" w:name="Xb519c6fd09411cb78cbdbbd32000b7a538a23cd"/>
      <w:r>
        <w:t xml:space="preserve">Female highest level of school attended per Area and Region</w:t>
      </w:r>
      <w:bookmarkEnd w:id="43"/>
    </w:p>
    <w:p>
      <w:pPr>
        <w:pStyle w:val="FirstParagraph"/>
      </w:pPr>
      <w:r>
        <w:t xml:space="preserve">For both the urban and rural areas it was observed that the predominant school</w:t>
      </w:r>
      <w:r>
        <w:t xml:space="preserve"> </w:t>
      </w:r>
      <w:r>
        <w:t xml:space="preserve">level was higher secondary with an average of nearly 50% of the respondents.</w:t>
      </w:r>
      <w:r>
        <w:t xml:space="preserve"> </w:t>
      </w:r>
      <w:r>
        <w:t xml:space="preserve">In the rural area this was followed by lower secondary,</w:t>
      </w:r>
      <w:r>
        <w:t xml:space="preserve"> </w:t>
      </w:r>
      <w:r>
        <w:t xml:space="preserve">primary and then higher with averages of 23%, 13% and 12% respectively.</w:t>
      </w:r>
      <w:r>
        <w:t xml:space="preserve"> </w:t>
      </w:r>
      <w:r>
        <w:t xml:space="preserve">In the urban area, the higher secondary level was followed by higher, lower</w:t>
      </w:r>
      <w:r>
        <w:t xml:space="preserve"> </w:t>
      </w:r>
      <w:r>
        <w:t xml:space="preserve">secondary then primary with averages of 21%, 16% and 6% respectively (see</w:t>
      </w:r>
      <w:r>
        <w:t xml:space="preserve"> </w:t>
      </w:r>
      <w:r>
        <w:t xml:space="preserve">Table</w:t>
      </w:r>
      <w:r>
        <w:t xml:space="preserve"> </w:t>
      </w:r>
      <w:hyperlink w:anchor="tab:male_female_average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and Figure</w:t>
      </w:r>
      <w:r>
        <w:t xml:space="preserve"> </w:t>
      </w:r>
      <w:hyperlink w:anchor="fig:male_female_average">
        <w:r>
          <w:rPr>
            <w:rStyle w:val="Hyperlink"/>
          </w:rPr>
          <w:t xml:space="preserve">3</w:t>
        </w:r>
      </w:hyperlink>
      <w:r>
        <w:t xml:space="preserve">).</w:t>
      </w:r>
      <w:r>
        <w:t xml:space="preserve"> </w:t>
      </w:r>
      <w:r>
        <w:t xml:space="preserve">This shows that in the urban area women are far more likely to attend</w:t>
      </w:r>
      <w:r>
        <w:t xml:space="preserve"> </w:t>
      </w:r>
      <w:r>
        <w:t xml:space="preserve">institutions of higher learning after finishing their highschool education.</w:t>
      </w:r>
      <w:r>
        <w:t xml:space="preserve"> </w:t>
      </w:r>
      <w:r>
        <w:t xml:space="preserve">This reason might be attributed to proximity of institutions from living area.</w:t>
      </w:r>
      <w:r>
        <w:t xml:space="preserve"> </w:t>
      </w:r>
      <w:r>
        <w:t xml:space="preserve">This assumption can be supported by looking at the averages per region, where</w:t>
      </w:r>
      <w:r>
        <w:t xml:space="preserve"> </w:t>
      </w:r>
      <w:r>
        <w:t xml:space="preserve">regions 3, 4 and 10 is observed to have the greatest portions of women in both</w:t>
      </w:r>
      <w:r>
        <w:t xml:space="preserve"> </w:t>
      </w:r>
      <w:r>
        <w:t xml:space="preserve">rural and urban areas having attended a higher institution level.</w:t>
      </w:r>
    </w:p>
    <w:p>
      <w:pPr>
        <w:pStyle w:val="Heading2"/>
      </w:pPr>
      <w:bookmarkStart w:id="44" w:name="X60973c5e1fdedffdd58dff1097ba3a90ca5fed8"/>
      <w:r>
        <w:t xml:space="preserve">Male highest level of school attended per Area and Region</w:t>
      </w:r>
      <w:bookmarkEnd w:id="44"/>
    </w:p>
    <w:p>
      <w:pPr>
        <w:pStyle w:val="FirstParagraph"/>
      </w:pPr>
      <w:r>
        <w:t xml:space="preserve">For both the urban and rural areas it was observed that the predominant school</w:t>
      </w:r>
      <w:r>
        <w:t xml:space="preserve"> </w:t>
      </w:r>
      <w:r>
        <w:t xml:space="preserve">level was higher secondary with an average of nearly 50% of the respondents.</w:t>
      </w:r>
      <w:r>
        <w:t xml:space="preserve"> </w:t>
      </w:r>
      <w:r>
        <w:t xml:space="preserve">In the rural area this was followed by lower secondary, primary then higher</w:t>
      </w:r>
      <w:r>
        <w:t xml:space="preserve"> </w:t>
      </w:r>
      <w:r>
        <w:t xml:space="preserve">with averages of 26%, 16% and 11% respectively while in the</w:t>
      </w:r>
      <w:r>
        <w:t xml:space="preserve"> </w:t>
      </w:r>
      <w:r>
        <w:t xml:space="preserve">urban area this was followed by lower secondary, higher then primary with area</w:t>
      </w:r>
      <w:r>
        <w:t xml:space="preserve"> </w:t>
      </w:r>
      <w:r>
        <w:t xml:space="preserve">averages of 22%, 18% and 9%</w:t>
      </w:r>
      <w:r>
        <w:t xml:space="preserve"> </w:t>
      </w:r>
      <w:r>
        <w:t xml:space="preserve">respectively (see Table</w:t>
      </w:r>
      <w:r>
        <w:t xml:space="preserve"> </w:t>
      </w:r>
      <w:hyperlink w:anchor="tab:male_female_average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and Figure</w:t>
      </w:r>
      <w:r>
        <w:t xml:space="preserve"> </w:t>
      </w:r>
      <w:hyperlink w:anchor="fig:male_female_average">
        <w:r>
          <w:rPr>
            <w:rStyle w:val="Hyperlink"/>
          </w:rPr>
          <w:t xml:space="preserve">3</w:t>
        </w:r>
      </w:hyperlink>
      <w:r>
        <w:t xml:space="preserve">).</w:t>
      </w:r>
      <w:r>
        <w:t xml:space="preserve"> </w:t>
      </w:r>
      <w:r>
        <w:t xml:space="preserve">While the positions for the higher and lower secondary levels didn’t change</w:t>
      </w:r>
      <w:r>
        <w:t xml:space="preserve"> </w:t>
      </w:r>
      <w:r>
        <w:t xml:space="preserve">positions</w:t>
      </w:r>
      <w:r>
        <w:t xml:space="preserve"> </w:t>
      </w:r>
      <w:r>
        <w:t xml:space="preserve">by area, the average level of rural men with primary school levels vs. those in</w:t>
      </w:r>
      <w:r>
        <w:t xml:space="preserve"> </w:t>
      </w:r>
      <w:r>
        <w:t xml:space="preserve">the urban area did</w:t>
      </w:r>
      <w:r>
        <w:t xml:space="preserve"> </w:t>
      </w:r>
      <w:r>
        <w:t xml:space="preserve">change positions with third and fourth respectively with a difference of 7%</w:t>
      </w:r>
      <w:r>
        <w:t xml:space="preserve"> </w:t>
      </w:r>
      <w:r>
        <w:t xml:space="preserve">more rural men</w:t>
      </w:r>
      <w:r>
        <w:t xml:space="preserve"> </w:t>
      </w:r>
      <w:r>
        <w:t xml:space="preserve">having primary school as their highest level attended. This is also the reverse</w:t>
      </w:r>
      <w:r>
        <w:t xml:space="preserve"> </w:t>
      </w:r>
      <w:r>
        <w:t xml:space="preserve">case with the higher school level as</w:t>
      </w:r>
      <w:r>
        <w:t xml:space="preserve"> </w:t>
      </w:r>
      <w:r>
        <w:t xml:space="preserve">well with a difference of 7% more in the urban area vs. rural area having a</w:t>
      </w:r>
      <w:r>
        <w:t xml:space="preserve"> </w:t>
      </w:r>
      <w:r>
        <w:t xml:space="preserve">higher school level attendance.</w:t>
      </w:r>
      <w:r>
        <w:t xml:space="preserve"> </w:t>
      </w:r>
      <w:r>
        <w:t xml:space="preserve">A look at school level per region shows that regions 1, 2, 3, 6, 7 and 9 have</w:t>
      </w:r>
      <w:r>
        <w:t xml:space="preserve"> </w:t>
      </w:r>
      <w:r>
        <w:t xml:space="preserve">averages of and above 26%</w:t>
      </w:r>
      <w:r>
        <w:t xml:space="preserve"> </w:t>
      </w:r>
      <w:r>
        <w:t xml:space="preserve">of the respondents having lower secondary as their highest school attended (see</w:t>
      </w:r>
      <w:r>
        <w:t xml:space="preserve"> </w:t>
      </w:r>
      <w:r>
        <w:t xml:space="preserve">Figure</w:t>
      </w:r>
      <w:r>
        <w:t xml:space="preserve"> </w:t>
      </w:r>
      <w:hyperlink w:anchor="fig:male_attendance">
        <w:r>
          <w:rPr>
            <w:rStyle w:val="Hyperlink"/>
          </w:rPr>
          <w:t xml:space="preserve">1</w:t>
        </w:r>
      </w:hyperlink>
      <w:r>
        <w:t xml:space="preserve">).</w:t>
      </w:r>
      <w:r>
        <w:t xml:space="preserve"> </w:t>
      </w:r>
      <w:r>
        <w:t xml:space="preserve">These same regions with the exception of region 6 but addition of region 8 have</w:t>
      </w:r>
      <w:r>
        <w:t xml:space="preserve"> </w:t>
      </w:r>
      <w:r>
        <w:t xml:space="preserve">averages of</w:t>
      </w:r>
      <w:r>
        <w:t xml:space="preserve"> </w:t>
      </w:r>
      <w:r>
        <w:t xml:space="preserve">about or above the rural average for primary school level of 16%.</w:t>
      </w:r>
      <w:r>
        <w:t xml:space="preserve"> </w:t>
      </w:r>
      <w:r>
        <w:t xml:space="preserve">In the urban area, the region that sticks out is region 1 in terms of having a</w:t>
      </w:r>
      <w:r>
        <w:t xml:space="preserve"> </w:t>
      </w:r>
      <w:r>
        <w:t xml:space="preserve">higher</w:t>
      </w:r>
      <w:r>
        <w:t xml:space="preserve"> </w:t>
      </w:r>
      <w:r>
        <w:t xml:space="preserve">percentage of its respondents having primary and lower secondary levels of</w:t>
      </w:r>
      <w:r>
        <w:t xml:space="preserve"> </w:t>
      </w:r>
      <w:r>
        <w:t xml:space="preserve">highest</w:t>
      </w:r>
      <w:r>
        <w:t xml:space="preserve"> </w:t>
      </w:r>
      <w:r>
        <w:t xml:space="preserve">schooling with both</w:t>
      </w:r>
      <w:r>
        <w:t xml:space="preserve"> </w:t>
      </w:r>
      <w:r>
        <w:t xml:space="preserve">having 29% while the higher secondary average is 41%, a difference of 9% of</w:t>
      </w:r>
      <w:r>
        <w:t xml:space="preserve"> </w:t>
      </w:r>
      <w:r>
        <w:t xml:space="preserve">the urban average of 50% (see Table</w:t>
      </w:r>
      <w:r>
        <w:t xml:space="preserve"> </w:t>
      </w:r>
      <w:hyperlink w:anchor="tab:male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pStyle w:val="BodyText"/>
      </w:pPr>
      <w:r>
        <w:t xml:space="preserve">Just like the regions that have the greatest portion of females with higher</w:t>
      </w:r>
      <w:r>
        <w:t xml:space="preserve"> </w:t>
      </w:r>
      <w:r>
        <w:t xml:space="preserve">school levels,</w:t>
      </w:r>
      <w:r>
        <w:t xml:space="preserve"> </w:t>
      </w:r>
      <w:r>
        <w:t xml:space="preserve">this is also the case with the males where regions 3, 4, 10 and to some extent</w:t>
      </w:r>
      <w:r>
        <w:t xml:space="preserve"> </w:t>
      </w:r>
      <w:r>
        <w:t xml:space="preserve">5</w:t>
      </w:r>
      <w:r>
        <w:t xml:space="preserve"> </w:t>
      </w:r>
      <w:r>
        <w:t xml:space="preserve">and 6 having the</w:t>
      </w:r>
      <w:r>
        <w:t xml:space="preserve"> </w:t>
      </w:r>
      <w:r>
        <w:t xml:space="preserve">greatest portions of male respondents having a higher level schooling.</w:t>
      </w:r>
      <w:r>
        <w:t xml:space="preserve"> </w:t>
      </w:r>
      <w:r>
        <w:t xml:space="preserve">The assumption of proximity to higher institutions from living area may also be</w:t>
      </w:r>
      <w:r>
        <w:t xml:space="preserve"> </w:t>
      </w:r>
      <w:r>
        <w:t xml:space="preserve">applied here.</w:t>
      </w:r>
    </w:p>
    <w:p>
      <w:pPr>
        <w:pStyle w:val="Heading2"/>
      </w:pPr>
      <w:bookmarkStart w:id="45" w:name="recommendations"/>
      <w:r>
        <w:t xml:space="preserve">Recommendations</w:t>
      </w:r>
      <w:bookmarkEnd w:id="45"/>
    </w:p>
    <w:p>
      <w:pPr>
        <w:pStyle w:val="FirstParagraph"/>
      </w:pPr>
      <w:r>
        <w:t xml:space="preserve">While more analysis is needed to improve on and test hypotheses, it can be seen</w:t>
      </w:r>
      <w:r>
        <w:t xml:space="preserve"> </w:t>
      </w:r>
      <w:r>
        <w:t xml:space="preserve">that males have a relatively higher and earlier</w:t>
      </w:r>
      <w:r>
        <w:t xml:space="preserve"> </w:t>
      </w:r>
      <w:r>
        <w:t xml:space="preserve">school dropout rate than females. However, they both suffer from relatively</w:t>
      </w:r>
      <w:r>
        <w:t xml:space="preserve"> </w:t>
      </w:r>
      <w:r>
        <w:t xml:space="preserve">high levels</w:t>
      </w:r>
      <w:r>
        <w:t xml:space="preserve"> </w:t>
      </w:r>
      <w:r>
        <w:t xml:space="preserve">of early dropout especially in the rural areas.</w:t>
      </w:r>
    </w:p>
    <w:p>
      <w:pPr>
        <w:pStyle w:val="BodyText"/>
      </w:pPr>
      <w:r>
        <w:t xml:space="preserve">Some recommendations would be</w:t>
      </w:r>
    </w:p>
    <w:p>
      <w:pPr>
        <w:numPr>
          <w:ilvl w:val="0"/>
          <w:numId w:val="1002"/>
        </w:numPr>
      </w:pPr>
      <w:r>
        <w:t xml:space="preserve">to provide mentoring and apprenticeships in various sectors such as</w:t>
      </w:r>
      <w:r>
        <w:t xml:space="preserve"> </w:t>
      </w:r>
      <w:r>
        <w:t xml:space="preserve">sewing,</w:t>
      </w:r>
      <w:r>
        <w:t xml:space="preserve"> </w:t>
      </w:r>
      <w:r>
        <w:t xml:space="preserve">carpentry, maisonry etc. While the Government Technical Instutitues</w:t>
      </w:r>
      <w:r>
        <w:t xml:space="preserve"> </w:t>
      </w:r>
      <w:r>
        <w:t xml:space="preserve">provide training</w:t>
      </w:r>
      <w:r>
        <w:t xml:space="preserve"> </w:t>
      </w:r>
      <w:r>
        <w:t xml:space="preserve">in some of these areas, most students when finished with these</w:t>
      </w:r>
      <w:r>
        <w:t xml:space="preserve"> </w:t>
      </w:r>
      <w:r>
        <w:t xml:space="preserve">programmes tend to sit on the certificate and be jobless or have jobs</w:t>
      </w:r>
      <w:r>
        <w:t xml:space="preserve"> </w:t>
      </w:r>
      <w:r>
        <w:t xml:space="preserve">that are "lesser" than that which they are either qualified for or</w:t>
      </w:r>
      <w:r>
        <w:t xml:space="preserve"> </w:t>
      </w:r>
      <w:r>
        <w:t xml:space="preserve">have the</w:t>
      </w:r>
      <w:r>
        <w:t xml:space="preserve"> </w:t>
      </w:r>
      <w:r>
        <w:t xml:space="preserve">certification for (structural unemployment). With both males and</w:t>
      </w:r>
      <w:r>
        <w:t xml:space="preserve"> </w:t>
      </w:r>
      <w:r>
        <w:t xml:space="preserve">females, from observations and</w:t>
      </w:r>
      <w:r>
        <w:t xml:space="preserve"> </w:t>
      </w:r>
      <w:r>
        <w:t xml:space="preserve">experience, frustration</w:t>
      </w:r>
      <w:r>
        <w:t xml:space="preserve"> </w:t>
      </w:r>
      <w:r>
        <w:t xml:space="preserve">steps in and can be crippling and where there’s frustration there is</w:t>
      </w:r>
      <w:r>
        <w:t xml:space="preserve"> </w:t>
      </w:r>
      <w:r>
        <w:t xml:space="preserve">irrationality.</w:t>
      </w:r>
    </w:p>
    <w:p>
      <w:pPr>
        <w:numPr>
          <w:ilvl w:val="0"/>
          <w:numId w:val="1002"/>
        </w:numPr>
      </w:pPr>
      <w:r>
        <w:t xml:space="preserve">to improve upon recreational facilities - these facilities are where</w:t>
      </w:r>
      <w:r>
        <w:t xml:space="preserve"> </w:t>
      </w:r>
      <w:r>
        <w:t xml:space="preserve">communities reach and are built for better or worse. It often seems</w:t>
      </w:r>
      <w:r>
        <w:t xml:space="preserve"> </w:t>
      </w:r>
      <w:r>
        <w:t xml:space="preserve">that the farther</w:t>
      </w:r>
      <w:r>
        <w:t xml:space="preserve"> </w:t>
      </w:r>
      <w:r>
        <w:t xml:space="preserve">one goes from the city, the more neglected these facilities are.</w:t>
      </w:r>
      <w:r>
        <w:t xml:space="preserve"> </w:t>
      </w:r>
      <w:r>
        <w:t xml:space="preserve">Establishing afterschool programmes in education and sports with</w:t>
      </w:r>
      <w:r>
        <w:t xml:space="preserve"> </w:t>
      </w:r>
      <w:r>
        <w:t xml:space="preserve">dedicated</w:t>
      </w:r>
      <w:r>
        <w:t xml:space="preserve"> </w:t>
      </w:r>
      <w:r>
        <w:t xml:space="preserve">facilitators at these facilities would help to boost the communities’</w:t>
      </w:r>
      <w:r>
        <w:t xml:space="preserve"> </w:t>
      </w:r>
      <w:r>
        <w:t xml:space="preserve">social welfare.</w:t>
      </w:r>
      <w:r>
        <w:t xml:space="preserve"> </w:t>
      </w:r>
      <w:r>
        <w:t xml:space="preserve">Given the direct interaction with members in the community, further</w:t>
      </w:r>
      <w:r>
        <w:t xml:space="preserve"> </w:t>
      </w:r>
      <w:r>
        <w:t xml:space="preserve">information on the specific</w:t>
      </w:r>
      <w:r>
        <w:t xml:space="preserve"> </w:t>
      </w:r>
      <w:r>
        <w:t xml:space="preserve">areas that need attention can be identified and highlighted. Hence,</w:t>
      </w:r>
      <w:r>
        <w:t xml:space="preserve"> </w:t>
      </w:r>
      <w:r>
        <w:t xml:space="preserve">improving programmes’ effectiveness through efficiency increase.</w:t>
      </w:r>
    </w:p>
    <w:p>
      <w:pPr>
        <w:numPr>
          <w:ilvl w:val="0"/>
          <w:numId w:val="1002"/>
        </w:numPr>
      </w:pPr>
      <w:r>
        <w:t xml:space="preserve">to improve upon education monitoring, evaluation and programme</w:t>
      </w:r>
      <w:r>
        <w:t xml:space="preserve"> </w:t>
      </w:r>
      <w:r>
        <w:t xml:space="preserve">implementation - this improvement is especially needed for rural</w:t>
      </w:r>
      <w:r>
        <w:t xml:space="preserve"> </w:t>
      </w:r>
      <w:r>
        <w:t xml:space="preserve">areas that are farthest from the city (see Regions 1 and 8). In these</w:t>
      </w:r>
      <w:r>
        <w:t xml:space="preserve"> </w:t>
      </w:r>
      <w:r>
        <w:t xml:space="preserve">areas</w:t>
      </w:r>
      <w:r>
        <w:t xml:space="preserve"> </w:t>
      </w:r>
      <w:r>
        <w:t xml:space="preserve">it can often be seen</w:t>
      </w:r>
      <w:r>
        <w:t xml:space="preserve"> </w:t>
      </w:r>
      <w:r>
        <w:t xml:space="preserve">children peddling items, working at crossings (see Sherima, Tiperu,</w:t>
      </w:r>
      <w:r>
        <w:t xml:space="preserve"> </w:t>
      </w:r>
      <w:r>
        <w:t xml:space="preserve">Iteballi</w:t>
      </w:r>
      <w:r>
        <w:t xml:space="preserve"> </w:t>
      </w:r>
      <w:r>
        <w:t xml:space="preserve">etc.) washing vehicles, being porters etc. I believe more needs to be</w:t>
      </w:r>
      <w:r>
        <w:t xml:space="preserve"> </w:t>
      </w:r>
      <w:r>
        <w:t xml:space="preserve">done to monitor</w:t>
      </w:r>
      <w:r>
        <w:t xml:space="preserve"> </w:t>
      </w:r>
      <w:r>
        <w:t xml:space="preserve">truancy in these areas.</w:t>
      </w:r>
    </w:p>
    <w:p>
      <w:pPr>
        <w:numPr>
          <w:ilvl w:val="0"/>
          <w:numId w:val="1002"/>
        </w:numPr>
      </w:pPr>
      <w:r>
        <w:t xml:space="preserve">to improve on any programme implementation - this applies to the</w:t>
      </w:r>
      <w:r>
        <w:t xml:space="preserve"> </w:t>
      </w:r>
      <w:r>
        <w:t xml:space="preserve">previous recommendations</w:t>
      </w:r>
      <w:r>
        <w:t xml:space="preserve"> </w:t>
      </w:r>
      <w:r>
        <w:t xml:space="preserve">and any programmes. In Guyana, programmes are</w:t>
      </w:r>
      <w:r>
        <w:t xml:space="preserve"> </w:t>
      </w:r>
      <w:r>
        <w:t xml:space="preserve">often rolled out without seeing it through or lackadaisically</w:t>
      </w:r>
      <w:r>
        <w:t xml:space="preserve"> </w:t>
      </w:r>
      <w:r>
        <w:t xml:space="preserve">monitored. For example, government agencies would have a lot of</w:t>
      </w:r>
      <w:r>
        <w:t xml:space="preserve"> </w:t>
      </w:r>
      <w:r>
        <w:t xml:space="preserve">planned programmes at the start of</w:t>
      </w:r>
      <w:r>
        <w:t xml:space="preserve"> </w:t>
      </w:r>
      <w:r>
        <w:t xml:space="preserve">a fiscal year and only start to implement most of these programmes</w:t>
      </w:r>
      <w:r>
        <w:t xml:space="preserve"> </w:t>
      </w:r>
      <w:r>
        <w:t xml:space="preserve">coming on to the end of the year although</w:t>
      </w:r>
      <w:r>
        <w:t xml:space="preserve"> </w:t>
      </w:r>
      <w:r>
        <w:t xml:space="preserve">it would have already been budgeted for.</w:t>
      </w:r>
    </w:p>
    <w:p>
      <w:pPr>
        <w:pStyle w:val="Heading1"/>
      </w:pPr>
      <w:bookmarkStart w:id="46" w:name="conclusion"/>
      <w:r>
        <w:t xml:space="preserve">Conclusion</w:t>
      </w:r>
      <w:bookmarkEnd w:id="46"/>
    </w:p>
    <w:p>
      <w:pPr>
        <w:pStyle w:val="FirstParagraph"/>
      </w:pPr>
      <w:r>
        <w:t xml:space="preserve">Time has been a huge limitation in this analysis.</w:t>
      </w:r>
      <w:r>
        <w:t xml:space="preserve"> </w:t>
      </w:r>
      <w:r>
        <w:t xml:space="preserve">While the code used to analyse the data was checked, extra time would have been</w:t>
      </w:r>
      <w:r>
        <w:t xml:space="preserve"> </w:t>
      </w:r>
      <w:r>
        <w:t xml:space="preserve">used to further ensure data integrity. The code and by extension the data</w:t>
      </w:r>
      <w:r>
        <w:t xml:space="preserve"> </w:t>
      </w:r>
      <w:r>
        <w:t xml:space="preserve">produced</w:t>
      </w:r>
      <w:r>
        <w:t xml:space="preserve"> </w:t>
      </w:r>
      <w:r>
        <w:t xml:space="preserve">by</w:t>
      </w:r>
      <w:r>
        <w:t xml:space="preserve"> </w:t>
      </w:r>
      <w:r>
        <w:t xml:space="preserve">the code has also not been peer-reviewed which further limits its integrity.</w:t>
      </w:r>
      <w:r>
        <w:t xml:space="preserve"> </w:t>
      </w:r>
      <w:r>
        <w:t xml:space="preserve">This analysis</w:t>
      </w:r>
      <w:r>
        <w:t xml:space="preserve"> </w:t>
      </w:r>
      <w:r>
        <w:t xml:space="preserve">also only focuses on a specific parameter i.e. highest level of school</w:t>
      </w:r>
      <w:r>
        <w:t xml:space="preserve"> </w:t>
      </w:r>
      <w:r>
        <w:t xml:space="preserve">attended which makes the analysis relatively myopic. If further analysis is</w:t>
      </w:r>
      <w:r>
        <w:t xml:space="preserve"> </w:t>
      </w:r>
      <w:r>
        <w:t xml:space="preserve">done</w:t>
      </w:r>
      <w:r>
        <w:t xml:space="preserve"> </w:t>
      </w:r>
      <w:r>
        <w:t xml:space="preserve">it would be interesting and wise to look at other parameters in the dataset,</w:t>
      </w:r>
      <w:r>
        <w:t xml:space="preserve"> </w:t>
      </w:r>
      <w:r>
        <w:t xml:space="preserve">stratify and compare to see their relations (correlation and/or causation).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Bureau of Statistics Data Analysis Competition 2023 based on Multiple Indicator Cluster Survey</dc:title>
  <dc:creator>Simeon Chester</dc:creator>
  <cp:keywords/>
  <dcterms:created xsi:type="dcterms:W3CDTF">2023-09-26T13:35:30Z</dcterms:created>
  <dcterms:modified xsi:type="dcterms:W3CDTF">2023-09-26T13:35:30Z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</Properties>
</file>