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F64D" w14:textId="77777777" w:rsidR="00A50125" w:rsidRPr="00A50125" w:rsidRDefault="00A50125" w:rsidP="00A5012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Hlk5335451"/>
      <w:bookmarkStart w:id="1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bookmarkEnd w:id="0"/>
    <w:bookmarkEnd w:id="1"/>
    <w:p w14:paraId="3035A2F1" w14:textId="77777777" w:rsidR="0026194D" w:rsidRDefault="00BA17F5" w:rsidP="00A50125">
      <w:pPr>
        <w:spacing w:line="360" w:lineRule="auto"/>
        <w:ind w:firstLine="709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Дослідження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14B8CF85" w14:textId="77777777" w:rsidR="0026194D" w:rsidRDefault="00BA17F5" w:rsidP="00A50125">
      <w:pPr>
        <w:spacing w:line="360" w:lineRule="auto"/>
        <w:ind w:firstLine="709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10FDDE3C" w14:textId="77777777" w:rsidR="0026194D" w:rsidRDefault="00BA17F5" w:rsidP="00A50125">
      <w:pPr>
        <w:spacing w:line="360" w:lineRule="auto"/>
        <w:ind w:firstLine="709"/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Короткі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відомості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643711F" w14:textId="77777777" w:rsidR="0026194D" w:rsidRDefault="00BA17F5" w:rsidP="00A50125">
      <w:pPr>
        <w:spacing w:line="360" w:lineRule="auto"/>
        <w:ind w:firstLine="709"/>
        <w:jc w:val="both"/>
      </w:pPr>
      <w:bookmarkStart w:id="2" w:name="__DdeLink__116_1522080317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Шифром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Тритеміуса</w:t>
      </w:r>
      <w:bookmarkEnd w:id="2"/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називається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система шифрування, розроблена Іоганном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Тритемія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5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 собою вдосконалений шифр Цезаря, тобто шифр підстановки.</w:t>
      </w:r>
      <w:r w:rsidR="00A5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алгоритмом шифрування, кожен символ повідомлення зміщується на символ, який відстає від даного на дея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кий крок. Тут крок зміщення робиться змінним, тобто залежним від будь-яких додаткових чинників. </w:t>
      </w:r>
    </w:p>
    <w:p w14:paraId="14579D7D" w14:textId="77777777" w:rsidR="0026194D" w:rsidRPr="00A50125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Наприклад, можна задати закон зміщення у вигляді лінійної функції (рівняння шифрування) позиції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шифруємої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літери. Сама функція повинна гарантувати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цілочисельне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значення. Пряма функція шифрування повинна мати зворотну функцію шифрування, теж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цілочисельну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0417531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Вважається удосконаленим шифром Цезаря</w:t>
      </w:r>
    </w:p>
    <w:p w14:paraId="6A3995CA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Формула для шифру:</w:t>
      </w:r>
    </w:p>
    <w:p w14:paraId="3E34610B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highlight w:val="white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shd w:val="clear" w:color="auto" w:fill="FFFFFF"/>
        </w:rPr>
        <w:t>L = (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shd w:val="clear" w:color="auto" w:fill="FFFFFF"/>
        </w:rPr>
        <w:t>m+k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shd w:val="clear" w:color="auto" w:fill="FFFFFF"/>
        </w:rPr>
        <w:t>mod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shd w:val="clear" w:color="auto" w:fill="FFFFFF"/>
        </w:rPr>
        <w:t xml:space="preserve"> N</w:t>
      </w:r>
    </w:p>
    <w:p w14:paraId="7A7BB21E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номер зашифрованої букви в алфавіті, </w:t>
      </w:r>
    </w:p>
    <w:p w14:paraId="766D21E8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-порядковий номер букви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шифрованого тексту в алфавіті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3BAA89B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 зсуву</w:t>
      </w:r>
      <w:r w:rsidRPr="00A5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AE32EBB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кількість букв в алфавіті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38848F68" w14:textId="77777777" w:rsidR="0026194D" w:rsidRDefault="00BA17F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Число зсуву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крок зсуву) в даному випадку змінна величина, функціонально залежить від позиції символу в повідомленні. Залежність може бути різною, наприклад, лінійною або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квадратичною.</w:t>
      </w:r>
    </w:p>
    <w:p w14:paraId="507E4998" w14:textId="77777777" w:rsidR="0026194D" w:rsidRDefault="00BA17F5" w:rsidP="00A50125">
      <w:pPr>
        <w:shd w:val="clear" w:color="auto" w:fill="FFFFFF"/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uk-UA"/>
        </w:rPr>
        <w:t>k = A*p + B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(лінійна залежність).</w:t>
      </w:r>
    </w:p>
    <w:p w14:paraId="17DA2AA2" w14:textId="77777777" w:rsidR="0026194D" w:rsidRDefault="00BA17F5" w:rsidP="00A50125">
      <w:pPr>
        <w:shd w:val="clear" w:color="auto" w:fill="FFFFFF"/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lastRenderedPageBreak/>
        <w:t>A, 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ключі (можуть бути будь які вибрані числа але вони повинні бути цілими). </w:t>
      </w:r>
    </w:p>
    <w:p w14:paraId="27A2373C" w14:textId="77777777" w:rsidR="0026194D" w:rsidRDefault="00BA17F5" w:rsidP="00A50125">
      <w:pPr>
        <w:shd w:val="clear" w:color="auto" w:fill="FFFFFF"/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позиція літери в повідомленні</w:t>
      </w:r>
    </w:p>
    <w:p w14:paraId="152DBCFC" w14:textId="77777777" w:rsidR="0026194D" w:rsidRDefault="00A50125" w:rsidP="00A501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Приклад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:</w:t>
      </w:r>
    </w:p>
    <w:p w14:paraId="16B7CE44" w14:textId="77777777" w:rsidR="00A50125" w:rsidRPr="00A50125" w:rsidRDefault="00A50125" w:rsidP="00A5012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A501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CC9B922" wp14:editId="71D021F1">
            <wp:extent cx="5581937" cy="45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B74" w14:textId="77777777" w:rsidR="00A50125" w:rsidRPr="00A50125" w:rsidRDefault="00A50125" w:rsidP="00A50125">
      <w:pPr>
        <w:spacing w:line="360" w:lineRule="auto"/>
        <w:ind w:firstLine="709"/>
        <w:jc w:val="center"/>
      </w:pPr>
      <w:r w:rsidRPr="00A50125">
        <w:drawing>
          <wp:inline distT="0" distB="0" distL="0" distR="0" wp14:anchorId="58B31D86" wp14:editId="6A808AFF">
            <wp:extent cx="4650987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554" cy="35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2630" w14:textId="77777777" w:rsidR="0026194D" w:rsidRDefault="00BA17F5" w:rsidP="00A50125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Шифр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Тритеміуса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віднести до шифру заміщення це покращений шифр Цезаря  який  відрізняється кроком зміщення. Крок зміщення задається функцією і текстом. Тип ключа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Тритеміуса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задається з обмеженим об’ємом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стійкість забезпечується секретним 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лючем.</w:t>
      </w:r>
    </w:p>
    <w:sectPr w:rsidR="0026194D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D"/>
    <w:rsid w:val="0026194D"/>
    <w:rsid w:val="00A50125"/>
    <w:rsid w:val="00B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361F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8</cp:revision>
  <dcterms:created xsi:type="dcterms:W3CDTF">2019-03-01T08:36:00Z</dcterms:created>
  <dcterms:modified xsi:type="dcterms:W3CDTF">2019-04-05T03:15:00Z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