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E7F" w:rsidRPr="005B7E7F" w:rsidRDefault="005B7E7F" w:rsidP="005B7E7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Лабороторна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bookmarkStart w:id="0" w:name="_GoBack"/>
      <w:bookmarkEnd w:id="0"/>
    </w:p>
    <w:p w:rsidR="00254CE4" w:rsidRDefault="005B7E7F" w:rsidP="00A913E1">
      <w:pPr>
        <w:spacing w:line="360" w:lineRule="auto"/>
        <w:ind w:firstLine="851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Криптоалгоритм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Шифр Гамування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</w:p>
    <w:p w:rsidR="00254CE4" w:rsidRDefault="005B7E7F" w:rsidP="00A913E1">
      <w:pPr>
        <w:spacing w:line="360" w:lineRule="auto"/>
        <w:ind w:firstLine="851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Відпрацювання та закріплення теоретичних відомостей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криптоалгоритму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Гамування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”</w:t>
      </w:r>
    </w:p>
    <w:p w:rsidR="00254CE4" w:rsidRDefault="005B7E7F" w:rsidP="00A913E1">
      <w:pPr>
        <w:spacing w:line="360" w:lineRule="auto"/>
        <w:ind w:firstLine="851"/>
      </w:pPr>
      <w:r w:rsidRPr="00A913E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Короткі відомості:</w:t>
      </w:r>
    </w:p>
    <w:p w:rsidR="00254CE4" w:rsidRPr="00A913E1" w:rsidRDefault="005B7E7F" w:rsidP="00A913E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913E1">
        <w:rPr>
          <w:rFonts w:ascii="Times New Roman" w:hAnsi="Times New Roman" w:cs="Times New Roman"/>
          <w:color w:val="000000" w:themeColor="text1"/>
          <w:sz w:val="28"/>
          <w:szCs w:val="28"/>
        </w:rPr>
        <w:t>Гаммірування</w:t>
      </w:r>
      <w:proofErr w:type="spellEnd"/>
      <w:r w:rsidRPr="00A913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метод симетричного шифрування, полягає в «накладенні» послідовності, що складається з </w:t>
      </w:r>
      <w:r w:rsidRPr="00A913E1">
        <w:rPr>
          <w:rFonts w:ascii="Times New Roman" w:hAnsi="Times New Roman" w:cs="Times New Roman"/>
          <w:color w:val="000000" w:themeColor="text1"/>
          <w:sz w:val="28"/>
          <w:szCs w:val="28"/>
        </w:rPr>
        <w:t>випадкових чисел, на відкритий текст.</w:t>
      </w:r>
    </w:p>
    <w:p w:rsidR="00254CE4" w:rsidRDefault="005B7E7F" w:rsidP="00A913E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Послідовність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випадкових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чисел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називається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гамма-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послідовністю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      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використовується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шифрування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розшифровки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 </w:t>
      </w:r>
    </w:p>
    <w:p w:rsidR="00254CE4" w:rsidRDefault="005B7E7F" w:rsidP="00A913E1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Підсумовування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як правило,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виконується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будь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якому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кінцевому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поле Галуа GF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підсумовування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набуває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вигляду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операції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виключне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АБО (XOR)».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Довжиною періоду гамми називається мінімальна кількість символів після якого послідовність починає повторюватись, як тільки гамма починає використовуватись повторно ш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ифр вже не буде являтись абсолютно стійким (математично)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Випадковість розподілу символів по періоду означає відсутність закономірностей між появою різних символів в межах періоду.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довжині періоду розрізняються гами з кінцевим і нескінченним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періодом. Якщо довжина періоду гамми перевершує довжину тексту, що шифрується, гамма є істинно випадковою і не використовується для шифрування вдруге повідомлень, то таке перетворення є абсолютно стійким (досконалий шифр).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Гаммірування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частіше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здійснюється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по модулю 2,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відкритий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текст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представляється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бінарної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послідовності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- по модулю 256,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відкритий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текст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представляється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послідовності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байтів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- по модулю 10,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відкритий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текст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послідовність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цифр.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 = (</w:t>
      </w: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 +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K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mod</w:t>
      </w:r>
      <w:proofErr w:type="spellEnd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N, 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 = (</w:t>
      </w: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 + N -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K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mod</w:t>
      </w:r>
      <w:proofErr w:type="spellEnd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 xml:space="preserve"> N,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де </w:t>
      </w: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P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-перший символ відкритого повідомлення;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-перший символ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повідомлення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кількість символів в алфавіті;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К</w:t>
      </w:r>
      <w: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  <w:vertAlign w:val="subscript"/>
        </w:rPr>
        <w:t>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перший символ гамми (ключа) генерується за допомогою ГПВЧ(генератор псевдовипадкових чисел) кількість згенерованих чисел повинно відповідати кількості літер в повідомленні, яке буде шифруватись. Якщо довжина гамми менше, ніж довжина повідомлення, тоді 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 використовується повторно.</w:t>
      </w:r>
    </w:p>
    <w:p w:rsidR="00254CE4" w:rsidRDefault="00254CE4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Повинні бути пред'явлені, такі умови для забезпечити достатню якість шифру: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Необхідно, щоб період повторення генерування гами був досить великим, краще - максимально можливим. У всякому разі, він повинен перевершувати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най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більшу можливу кількість символів в шифрованих повідомленні.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Необхідно, щоб сусідні або близькі по розташуванню елементи послідовності відрізнялися один від одного. Було б вкрай бажано, щоб відмінності між ними були в кожній позиції.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Сенс в тому, що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метод гамування за своєю суттю вимагає одноразової гамми, інакше він легко розкривається по алгоритмічної лінії. Якщо ж період повторення вироблюваної гамми недостатньо великий, різні частини одного                   і того ж довгого повідомлення можуть ви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явитися зашифрованими за допомогою однакових ділянок гамми.</w:t>
      </w:r>
    </w:p>
    <w:p w:rsidR="00254CE4" w:rsidRDefault="005B7E7F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Друга вимога є менш очевидною, і має місце тільки для шифрів цілком певних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архітектур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яких крок шифрування є комбінацією декількох порівняно простих перетворень, в ході кожного з яких відміннос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ті в шифрованих блоках даних збільшуються досить несуттєво.</w:t>
      </w:r>
    </w:p>
    <w:p w:rsidR="00A913E1" w:rsidRPr="00A913E1" w:rsidRDefault="00A913E1" w:rsidP="00A913E1">
      <w:pPr>
        <w:spacing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A91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Демонстра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</w:t>
      </w:r>
      <w:r w:rsidRPr="00A91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ія 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</w:t>
      </w:r>
      <w:r w:rsidRPr="00A91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боти алгоритму:</w:t>
      </w:r>
    </w:p>
    <w:p w:rsidR="00254CE4" w:rsidRDefault="00A913E1" w:rsidP="00A913E1">
      <w:pPr>
        <w:spacing w:line="360" w:lineRule="auto"/>
        <w:ind w:firstLine="851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A913E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680CE31" wp14:editId="5DC62D0A">
            <wp:extent cx="5106304" cy="476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8397" cy="480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E4" w:rsidRPr="00A913E1" w:rsidRDefault="00254CE4" w:rsidP="00A913E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highlight w:val="white"/>
          <w:lang w:val="ru-RU"/>
        </w:rPr>
      </w:pPr>
    </w:p>
    <w:p w:rsidR="00254CE4" w:rsidRDefault="005B7E7F" w:rsidP="00A913E1">
      <w:pPr>
        <w:spacing w:line="360" w:lineRule="auto"/>
        <w:ind w:firstLine="851"/>
        <w:jc w:val="both"/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Висновок: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Перевагами метода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гаммірування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перед іншими методами являється висока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криптостійкість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відносній простоті методу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Процедура кодування від процедури декодування нічим не відрізняється, процес сумування виконується через побітову операцію «виключення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XOR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». Використання поля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Галуа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дозволяє зроби процедуру кодування и декодування ідентичними.</w:t>
      </w:r>
    </w:p>
    <w:sectPr w:rsidR="00254CE4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E4"/>
    <w:rsid w:val="00254CE4"/>
    <w:rsid w:val="005B7E7F"/>
    <w:rsid w:val="00A9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3029"/>
  <w15:docId w15:val="{EFB7F8F9-5AAC-471B-873F-ECF9F16E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іперпосилання"/>
    <w:basedOn w:val="DefaultParagraphFont"/>
    <w:uiPriority w:val="99"/>
    <w:unhideWhenUsed/>
    <w:rsid w:val="00585BDC"/>
    <w:rPr>
      <w:color w:val="0000FF"/>
      <w:u w:val="single"/>
    </w:rPr>
  </w:style>
  <w:style w:type="character" w:customStyle="1" w:styleId="a0">
    <w:name w:val="Текст выноски Знак"/>
    <w:basedOn w:val="DefaultParagraphFont"/>
    <w:uiPriority w:val="99"/>
    <w:semiHidden/>
    <w:qFormat/>
    <w:rsid w:val="00514AA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6B32"/>
    <w:rPr>
      <w:color w:val="605E5C"/>
      <w:shd w:val="clear" w:color="auto" w:fill="E1DFDD"/>
    </w:rPr>
  </w:style>
  <w:style w:type="character" w:customStyle="1" w:styleId="mwe-math-mathml-inline">
    <w:name w:val="mwe-math-mathml-inline"/>
    <w:basedOn w:val="DefaultParagraphFont"/>
    <w:qFormat/>
    <w:rsid w:val="00B64230"/>
  </w:style>
  <w:style w:type="paragraph" w:customStyle="1" w:styleId="a1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2">
    <w:name w:val="Покажчик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514AA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E809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dc:description/>
  <cp:lastModifiedBy>Смбат Макиян</cp:lastModifiedBy>
  <cp:revision>12</cp:revision>
  <dcterms:created xsi:type="dcterms:W3CDTF">2019-03-01T08:36:00Z</dcterms:created>
  <dcterms:modified xsi:type="dcterms:W3CDTF">2019-04-05T02:43:00Z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