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3C7A8C"/>
          <w:spacing w:val="60"/>
          <w:sz w:val="18"/>
          <w:szCs w:val="18"/>
        </w:rPr>
        <w:t xml:space="preserve">РЕПУБЛИЧКИ ГЕОДЕТСКИ ЗАВОД</w:t>
      </w:r>
    </w:p>
    <w:p>
      <w:pPr>
        <w:pBdr>
          <w:bottom w:val="single" w:color="1F4E5F" w:sz="12" w:space="8"/>
        </w:pBdr>
        <w:spacing w:after="100"/>
      </w:pPr>
      <w:r>
        <w:rPr>
          <w:rFonts w:ascii="Cambria" w:cs="Cambria" w:eastAsia="Cambria" w:hAnsi="Cambria"/>
          <w:b/>
          <w:bCs/>
          <w:color w:val="1F4E5F"/>
          <w:sz w:val="40"/>
          <w:szCs w:val="40"/>
        </w:rPr>
        <w:t xml:space="preserve">Идеје за визуелизацију геопросторних података о непокретностима</w:t>
      </w:r>
    </w:p>
    <w:p>
      <w:pPr>
        <w:spacing w:after="60" w:before="200"/>
      </w:pPr>
      <w:r>
        <w:rPr>
          <w:color w:val="6B7F86"/>
          <w:sz w:val="19"/>
          <w:szCs w:val="19"/>
        </w:rPr>
        <w:t xml:space="preserve">Радни материјал · преглед идеја по типовима непокретности, са примерима са страних сајтова · август 2026.</w:t>
      </w:r>
    </w:p>
    <w:p>
      <w:pPr>
        <w:spacing w:after="500"/>
      </w:pPr>
      <w:r>
        <w:rPr>
          <w:b/>
          <w:bCs/>
          <w:color w:val="1F4E5F"/>
          <w:sz w:val="20"/>
          <w:szCs w:val="20"/>
        </w:rPr>
        <w:t xml:space="preserve">Аутор: Јелица Симић</w:t>
      </w:r>
    </w:p>
    <w:p>
      <w:pPr>
        <w:pStyle w:val="Heading1"/>
      </w:pPr>
      <w:r>
        <w:t xml:space="preserve">1. Циљ документа</w:t>
      </w:r>
    </w:p>
    <w:p>
      <w:pPr>
        <w:spacing w:after="140"/>
      </w:pPr>
      <w:r>
        <w:t xml:space="preserve">Овај документ даје преглед идеја како се подаци о непокретностима могу приказати на карти тако да корисник из њих извуче закључак, а не само да види тачке. Полазна претпоставка је да располажемо табелом у којој сваки ред представља једну непокретност или једну трансакцију, са координатама или бројем парцеле, ценом, површином и осталим атрибутима.</w:t>
      </w:r>
    </w:p>
    <w:p>
      <w:pPr>
        <w:spacing w:after="140"/>
      </w:pPr>
      <w:r>
        <w:t xml:space="preserve">Кључна поставка: различити типови непокретности траже различите визуелизације. Оно што добро ради за станове (цена по м², густа градска мрежа) потпуно је погрешно за пољопривредно земљиште (цена по хектару, велике парцеле, бонитет). Зато је документ организован по типовима непокретности, а не по техникама.</w:t>
      </w:r>
    </w:p>
    <w:p>
      <w:pPr>
        <w:spacing w:after="200"/>
      </w:pPr>
      <w:r>
        <w:t xml:space="preserve">Уз сваки тип наведени су и страни сајтови на којима је предложени приказ већ реализован, са адресама, да би се идеја могла видети у раду. Поглавље 5 посебно обрађује начине на које се уз карту приказује статистика података, што је обично оно што недостаје.</w:t>
      </w:r>
    </w:p>
    <w:p>
      <w:pPr>
        <w:pStyle w:val="Heading1"/>
      </w:pPr>
      <w:r>
        <w:t xml:space="preserve">2. Полазна основа: подаци и просторне јединице</w:t>
      </w:r>
    </w:p>
    <w:p>
      <w:pPr>
        <w:keepNext/>
        <w:spacing w:after="120"/>
      </w:pPr>
      <w:r>
        <w:t xml:space="preserve">Пре избора визуелизације треба се определити за просторну јединицу приказа. Свака носи другачију поруку: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Просторна јединица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Када је користити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Појединачна парцела / објекат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Када корисника занима конкретна непокретност. Обавезно преко ортофото подлоге. Приказ полигона, не тачке.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Катастарска општина (КО)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Природна јединица за наше податке и најлакша за објаснити кориснику. Мана: КО су веома неједнаке по величини, па велике сеоске КО визуелно доминирају.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Општина / град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националне прегледе и поређења. Превише груба за градске анализе.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 (нпр. H3)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Ћелије једнаке површине, независне од административних граница, резолуција се бира по зуму. Најбоље за приказ ценовне површине.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(пословна, грађевинска)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Када постојећа зонска подела већ носи значење — нарочито за пословни простор и грађевинско земљиште.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Улица / потез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пословне локале у центру града; линијски приказ уместо тачкастог.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Друго правило које важи за све типове: цена се никада не приказује као апсолутни износ, него нормализована — по м², по ару или по хектару, у зависности од типа. Мапа апсолутних цена је у пракси мапа величине непокретности.</w:t>
      </w:r>
    </w:p>
    <w:p>
      <w:pPr>
        <w:pStyle w:val="Heading1"/>
      </w:pPr>
      <w:r>
        <w:t xml:space="preserve">3. Идеје по типовима непокретности</w:t>
      </w:r>
    </w:p>
    <w:p>
      <w:pPr>
        <w:pStyle w:val="Heading2"/>
      </w:pPr>
      <w:r>
        <w:t xml:space="preserve">3.1. Станови</w:t>
      </w:r>
    </w:p>
    <w:p>
      <w:pPr>
        <w:keepNext/>
        <w:spacing w:after="160"/>
      </w:pPr>
      <w:r>
        <w:rPr>
          <w:i/>
          <w:iCs/>
          <w:color w:val="44606A"/>
        </w:rPr>
        <w:t xml:space="preserve">Најгушћи и најбогатији скуп података — овде има највише простора за занимљиве приказе.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Медијана цене по м² по зградама, улицама и блоковима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 са медијаном цене по м². Избегава проблем неједнаких КО и лепо се понаша при зумирању.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Разлика између тражене и уговорене цене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односа две цене (уговорена / тражена) са дивергентном палетом око 100%. Показује где се стварно преговара, а где се плаћа тражено.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Старост зграде у односу на цену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мапа: цена по м² укрштена са годином изградње. Открива зоне где се плаћа локација, а не квалитет градње.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станова — где има гарсоњера, а где четворособних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или филтер по структури — карта се перецртава при промени филтера, што одмах показује просторну поделу.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Спратност: колико вреди приземље, а колико поткровље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 зграда: висина зграде = стварна спратност, боја = цена по м². Најефектнији приказ за градско језгро.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 градња наспрам старог фонда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слоја исте мапе са преклопом или прекидачем, уз јасно раздвојене палете.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Интензитет промета — где се највише тргује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Топлотна мапа броја трансакција (не цене!). Показује ликвидност тржишта, што је често важније од саме цене.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Кретање цена кроз време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промене цене за изабрани период, дивергентна палета центрирана на нулу — најинформативнији појединачни приказ.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MeilleursAgents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q7lfzuahhrmogmbj55kar">
              <w:r>
                <w:rPr>
                  <w:rStyle w:val="Hyperlink"/>
                  <w:sz w:val="16"/>
                  <w:szCs w:val="16"/>
                </w:rPr>
                <w:t xml:space="preserve">https://www.meilleursagents.com/prix-immobilier/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Цена по м² од региона, преко општине и насеља, све до нивоа улице. Уз сваку вредност стоји индекс поузданости од 1 до 5 — управо оно што већина ценовних карата изоставља.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DVF — званични приказ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5061eowhkgrdwddhoc5vi">
              <w:r>
                <w:rPr>
                  <w:rStyle w:val="Hyperlink"/>
                  <w:sz w:val="16"/>
                  <w:szCs w:val="16"/>
                </w:rPr>
                <w:t xml:space="preserve">https://app.dvf.etalab.gouv.fr/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Клик на било коју парцелу у Француској даје све уговорене цене из последњих пет година. Најближи узор ономе што ми можемо да урадимо са Регистром цена.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DVF Explorer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9s4fhcsffdwavhlryguh_">
              <w:r>
                <w:rPr>
                  <w:rStyle w:val="Hyperlink"/>
                  <w:sz w:val="16"/>
                  <w:szCs w:val="16"/>
                </w:rPr>
                <w:t xml:space="preserve">https://dvfexplorer.fr/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Исти подаци, али са статистиком: медијана цене по м², број продаја и кретање, по општини и по адреси.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Redfin Data Center (САД)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tlca1rodxzxourij9cfsk">
              <w:r>
                <w:rPr>
                  <w:rStyle w:val="Hyperlink"/>
                  <w:sz w:val="16"/>
                  <w:szCs w:val="16"/>
                </w:rPr>
                <w:t xml:space="preserve">https://www.redfin.com/news/data-center/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Аналитички део одвојен од претраге огласа: медијана цене, залихе, број дана на тржишту, све са графиконима и могућношћу преузимања.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Bien'ici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dtwe-n4z55qo3qao5tvof">
              <w:r>
                <w:rPr>
                  <w:rStyle w:val="Hyperlink"/>
                  <w:sz w:val="16"/>
                  <w:szCs w:val="16"/>
                </w:rPr>
                <w:t xml:space="preserve">https://www.bienici.com/carte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Тродимензионални модел града, исцртавање сопствене зоне претраге и симулација осунчаности стана кроз дан и кроз годишња доба.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Housemetric (В. Британија)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xewmux1g1wcp9rn-dg-ft">
              <w:r>
                <w:rPr>
                  <w:rStyle w:val="Hyperlink"/>
                  <w:sz w:val="16"/>
                  <w:szCs w:val="16"/>
                </w:rPr>
                <w:t xml:space="preserve">https://housemetric.co.uk/map/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Топлотна мапа цене по м², добијена спајањем регистра продаја са подацима о површини. Пример нормализације у пракси.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ONS — статистика по малим подручјима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1zgeq9yhuvfs7zswuugas">
              <w:r>
                <w:rPr>
                  <w:rStyle w:val="Hyperlink"/>
                  <w:sz w:val="16"/>
                  <w:szCs w:val="16"/>
                </w:rPr>
                <w:t xml:space="preserve">https://www.ons.gov.uk/datasets/house-prices-local-authority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Како национална статистичка служба решава питање најмање просторне јединице за коју се цена уопште сме објавити.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LIFULL HOME'S PRICE MAP (Јапан)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lfamm2vou6yz_otimqr4p">
              <w:r>
                <w:rPr>
                  <w:rStyle w:val="Hyperlink"/>
                  <w:sz w:val="16"/>
                  <w:szCs w:val="16"/>
                </w:rPr>
                <w:t xml:space="preserve">https://lifullhomes-satei.jp/price-map/view/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Процењена цена приказана и за зграде које уопште нису у продаји. Обратити пажњу на локалну јединицу мере.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homes.co.nz (Нови Зеланд)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xxdzlt3zcb3t5q92lrqj5">
              <w:r>
                <w:rPr>
                  <w:rStyle w:val="Hyperlink"/>
                  <w:sz w:val="16"/>
                  <w:szCs w:val="16"/>
                </w:rPr>
                <w:t xml:space="preserve">https://homes.co.nz/map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Око 1,7 милиона непокретности — дословно све у земљи — на једној карти, са проценом и историјом продаја.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Породичне куће</w:t>
      </w:r>
    </w:p>
    <w:p>
      <w:pPr>
        <w:keepNext/>
        <w:spacing w:after="160"/>
      </w:pPr>
      <w:r>
        <w:rPr>
          <w:i/>
          <w:iCs/>
          <w:color w:val="44606A"/>
        </w:rPr>
        <w:t xml:space="preserve">Овде постоје две цене истовремено — цена објекта и цена земљишта под њим. То је главна разлика у односу на станове.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Однос цене објекта и површине плаца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Пропорционални симболи: величина круга = површина плаца, боја = цена по м² објекта. Одмах се види где се плаћа кућа, а где двориште.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ару плаца, одвојено од цене по м² објекта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засебне мапе истог подручја, једна поред друге, са фиксираним класама. Слика је потпуно другачија и то је поента.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Удаљеност од центра и саобраћајна доступност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(зоне доступности за 10/20/30 минута) од центра, комбиноване са филтером цене.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Комунална опремљеност и приступ путу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инфраструктуре испод тачака, у пригушеној боји — контекст, а не главни мотив.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Стање објекта и година градње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тачака уз обавезну ортофото подлогу; корисник визуелно проверава оно што пише у подацима.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Неусаглашеност уписаног и стварног стања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Посебан слој који означава објекте са утврђеном разликом — не мешати са ценовним слојем.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Rightmove (В. Британија)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xxhoalmajisfr4oe86aui">
              <w:r>
                <w:rPr>
                  <w:rStyle w:val="Hyperlink"/>
                  <w:sz w:val="16"/>
                  <w:szCs w:val="16"/>
                </w:rPr>
                <w:t xml:space="preserve">https://www.rightmove.co.uk/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Слој продатих цена постављен испод огласа, плус претрага по времену путовања као основни филтер, а не као додатак.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homes.co.nz (Нови Зеланд)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dgztv0lceqmz5t7ztf1wq">
              <w:r>
                <w:rPr>
                  <w:rStyle w:val="Hyperlink"/>
                  <w:sz w:val="16"/>
                  <w:szCs w:val="16"/>
                </w:rPr>
                <w:t xml:space="preserve">https://homes.co.nz/map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Приказ свих непокретности, а не само оних у продаји. За куће је ова разлика највећа.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HouseSigma (Канада)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ufe9qjjdwnzwt3job4kcw">
              <w:r>
                <w:rPr>
                  <w:rStyle w:val="Hyperlink"/>
                  <w:sz w:val="16"/>
                  <w:szCs w:val="16"/>
                </w:rPr>
                <w:t xml:space="preserve">https://housesigma.com/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Продате цене и процене директно на карти, са врло високом густином података.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Domain (Аустралија)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kurdb2xjocjdedc5olsfy">
              <w:r>
                <w:rPr>
                  <w:rStyle w:val="Hyperlink"/>
                  <w:sz w:val="16"/>
                  <w:szCs w:val="16"/>
                </w:rPr>
                <w:t xml:space="preserve">https://www.domain.com.au/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Процене вредности на карти, уз профиле насеља са статистиком.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Idealista (Шпанија)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jibqdnasb0e7x3xb29fb6">
              <w:r>
                <w:rPr>
                  <w:rStyle w:val="Hyperlink"/>
                  <w:sz w:val="16"/>
                  <w:szCs w:val="16"/>
                </w:rPr>
                <w:t xml:space="preserve">https://www.idealista.com/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Исцртавање зоне претраге по слободној руци и цена увек изражена по м².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Пословни простори</w:t>
      </w:r>
    </w:p>
    <w:p>
      <w:pPr>
        <w:keepNext/>
        <w:spacing w:after="160"/>
      </w:pPr>
      <w:r>
        <w:rPr>
          <w:i/>
          <w:iCs/>
          <w:color w:val="44606A"/>
        </w:rPr>
        <w:t xml:space="preserve">Једини тип код кога је закупнина често важнија од продајне цене, и једини где је улица важнија од површине.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Закупнина по м² месечно, поред продајне цене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метрике на истом приказу, преко прекидача. Однос закупнине и продајне цене даје приносну стопу — то је засебна, врло тражена мапа.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Улична фронта и приземље наспрам виших спратова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приказ улица: боја саме улице представља просечну закупнину. За градско језгро је читљивије од стотина преклопљених тачака.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Пословне зоне и њихове границе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зона као подлога, испод тачака трансакција. Одмах се види да ли зонска подела прати стварне цене или заостаје за њима.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Празни локали и колико дуго стоје празни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празних локала кроз време, са временским клизачем. Ово је најјачи показатељ здравља једне трговачке улице.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Намена: локал, канцеларија, угоститељство, ординација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са највише седам вредности; остало груписати у категорију „друго“.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Пешачка фреквенција и близина паркинга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пешачке доступности од раскрсница и стајалишта јавног превоза.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CoStar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mj5c5kh12pm0o3fb4w0ff">
              <w:r>
                <w:rPr>
                  <w:rStyle w:val="Hyperlink"/>
                  <w:sz w:val="16"/>
                  <w:szCs w:val="16"/>
                </w:rPr>
                <w:t xml:space="preserve">https://www.costar.com/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Најдубљи скуп атрибута за пословне непокретности на тржишту — добар преглед тога који подаци се уопште воде уз пословни простор.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NYC ZoLa (САД)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nr7ppyob7aw8kjiuo2_ni">
              <w:r>
                <w:rPr>
                  <w:rStyle w:val="Hyperlink"/>
                  <w:sz w:val="16"/>
                  <w:szCs w:val="16"/>
                </w:rPr>
                <w:t xml:space="preserve">https://zola.planninglabs.nyc/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Клик на парцелу отвара све податке о дозвољеној намени. За пословни простор је намена често важнија од саме површине.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Realtor.com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5pbnnjnmbiidjeudda9xd">
              <w:r>
                <w:rPr>
                  <w:rStyle w:val="Hyperlink"/>
                  <w:sz w:val="16"/>
                  <w:szCs w:val="16"/>
                </w:rPr>
                <w:t xml:space="preserve">https://www.realtor.com/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Прекидачи за контекстне слојеве (школе, бука, ризик од поплава). Показује докле се са слојевима може ићи пре него што почну да сметају.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Грађевинско земљиште</w:t>
      </w:r>
    </w:p>
    <w:p>
      <w:pPr>
        <w:keepNext/>
        <w:spacing w:after="160"/>
      </w:pPr>
      <w:r>
        <w:rPr>
          <w:i/>
          <w:iCs/>
          <w:color w:val="44606A"/>
        </w:rPr>
        <w:t xml:space="preserve">Тип код кога планска документација одређује вредност више него сама локација. Управо ту визуелизација може да покаже нешто што табела не може.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намена по ПГР/ПДР и границе намена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Преклоп планске намене (полигони, пригушене боје) и остварених цена (тачке). Најјача комбинација у целом документу — показује где тржиште не верује плану.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Дозвољени индекс изграђености и спратност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Изведена метрика: цена по м² дозвољене бруто развијене површине. Ова нормализација открива стварно подцењене парцеле и ретко се негде виђа.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Комунална опремљеност (вода, канализација, струја, гас)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опремљености као прекидачи, уз могућност да се прикаже само оно што испуњава све услове.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Приступ саобраћајници, близина петље или коридора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Градијент цене у односу на удаљеност од петље или коридора — прстенасти бафери или изохроне вожње.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м² парцеле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 за преглед, тачке или полигони парцела при већем зуму.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Правци ширења грађевинског подручја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Поређење граница грађевинског подручја кроз више временских пресека, приказом на подељеном екрану са клизачем.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Géoportail de l'Urbanisme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fj5sc3v7eyoixyw1rpsop">
              <w:r>
                <w:rPr>
                  <w:rStyle w:val="Hyperlink"/>
                  <w:sz w:val="16"/>
                  <w:szCs w:val="16"/>
                </w:rPr>
                <w:t xml:space="preserve">https://www.geoportail-urbanisme.gouv.fr/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Планска намена целе државе као полигони, слој по слој. Ово је тачно онај слој који код нас треба поставити испод цена.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NYC ZoLa (САД)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n_2u0xhipssedcxkvcs2i">
              <w:r>
                <w:rPr>
                  <w:rStyle w:val="Hyperlink"/>
                  <w:sz w:val="16"/>
                  <w:szCs w:val="16"/>
                </w:rPr>
                <w:t xml:space="preserve">https://zola.planninglabs.nyc/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Клик на парцелу даје зонирање и дозвољене параметре изградње. Изворни код је јавно доступан.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PLUTO / MapPLUTO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ldbs2zl7egpgleilzlkvu">
              <w:r>
                <w:rPr>
                  <w:rStyle w:val="Hyperlink"/>
                  <w:sz w:val="16"/>
                  <w:szCs w:val="16"/>
                </w:rPr>
                <w:t xml:space="preserve">https://www.nyc.gov/site/planning/data-maps/open-data/dwn-pluto-mappluto.page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Преко седамдесет атрибута по парцели, бесплатно. Добар узор за то како изгледа комплетан скуп атрибута парцеле.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cartes.gouv.fr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hvgkp1ehye982qzjblenc">
              <w:r>
                <w:rPr>
                  <w:rStyle w:val="Hyperlink"/>
                  <w:sz w:val="16"/>
                  <w:szCs w:val="16"/>
                </w:rPr>
                <w:t xml:space="preserve">https://cartes.gouv.fr/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Обједињен приступ катастру, ортофоту, рељефу и историјским картама на једном месту.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Regrid (САД и Канада)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v8kwwdrebfbjszghpqzuo">
              <w:r>
                <w:rPr>
                  <w:rStyle w:val="Hyperlink"/>
                  <w:sz w:val="16"/>
                  <w:szCs w:val="16"/>
                </w:rPr>
                <w:t xml:space="preserve">https://regrid.com/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Око 156 милиона парцела са границама, уједначених у један формат. Пример како изгледа парцелна база као производ.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3.5. Пољопривредно земљиште</w:t>
      </w:r>
    </w:p>
    <w:p>
      <w:pPr>
        <w:keepNext/>
        <w:spacing w:after="160"/>
      </w:pPr>
      <w:r>
        <w:rPr>
          <w:i/>
          <w:iCs/>
          <w:color w:val="44606A"/>
        </w:rPr>
        <w:t xml:space="preserve">Најразличитији тип у односу на градске непокретности: велике површине, мале цене по јединици, и низ атрибута којих нигде другде нема. Овде има највише неискоришћеног потенцијала, а страни примери су најубедљивији.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хектару по култури (њива, воћњак, виноград, ливада, пашњак)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КО, са обавезним раздвајањем по култури — просечна цена свих култура заједно није употребљив податак.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Катастарска класа и бонитет у односу на постигнуту цену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мапа: цена укрштена са бонитетом. Ћелије где је бонитет висок, а цена ниска јесу директан налаз, а не само илустрација.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Уситњеност поседа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просечне површине парцеле по КО, или броја парцела по власнику. Уситњеност је у нашим условима засебна тема и заслужује сопствени приказ.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Ефекти комасације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Подељени екран са клизачем: стање пре и после комасације на истом подручју. Изразито уверљив приказ за јавност.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Наводњавање, близина воде, плавне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Слојеви хидрографије и плавних зона испод ценовног слоја; корелација се види без иједног графикона.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Притисак промене намене — грађевинско земљиште и соларне електране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Посебан слој трансакција са ценама изразито изнад локалне медијане — то су по правилу парцеле купљене због будуће намене.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Власничка структура и промет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Категоријски приказ по типу власника, уз топлотну мапу броја трансакција (не цене).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Величина парцеле у односу на цену по хектару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Растурени дијаграм повезан са мапом: означавање тачака у дијаграму осветљава одговарајуће парцеле на карти.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AcreValue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j0_mtoyfp_r8tr_dlnn_d">
              <w:r>
                <w:rPr>
                  <w:rStyle w:val="Hyperlink"/>
                  <w:sz w:val="16"/>
                  <w:szCs w:val="16"/>
                </w:rPr>
                <w:t xml:space="preserve">https://www.acrevalue.com/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Најважнији пример у целом документу за нас. Спаја границу парцеле, индекс продуктивности земљишта (NCCPI, односно CSR2 у Ајови) и процењену вредност по акру. То је идеја „цена укрштена са бонитетом“ већ изведена као производ.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AcreValue — приказ по држави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afhvgamccza8gq-ibpzs7">
              <w:r>
                <w:rPr>
                  <w:rStyle w:val="Hyperlink"/>
                  <w:sz w:val="16"/>
                  <w:szCs w:val="16"/>
                </w:rPr>
                <w:t xml:space="preserve">https://www.acrevalue.com/map/NE/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Отворити било коју државу: приказују се број пољопривредних парцела, просечан бонитет и просечна процењена цена по акру. Управо тај облик статистике уз карту нам треба.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 prix des terres — SAFER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tcq21ic1kp3qvbhumteui">
              <w:r>
                <w:rPr>
                  <w:rStyle w:val="Hyperlink"/>
                  <w:sz w:val="16"/>
                  <w:szCs w:val="16"/>
                </w:rPr>
                <w:t xml:space="preserve">https://www.le-prix-des-terres.fr/carte/terre/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Званичне просечне цене пољопривредног земљишта по општинама, раздвојено по тржиштима: њиве и ливаде, виногради, шуме, сеоске куће. Најближи узор ономе што би РГЗ могао да објави.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Place des Terres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xnnivgectn2kzoeg77zvl">
              <w:r>
                <w:rPr>
                  <w:rStyle w:val="Hyperlink"/>
                  <w:sz w:val="16"/>
                  <w:szCs w:val="16"/>
                </w:rPr>
                <w:t xml:space="preserve">https://www.placedesterres.fr/outils/prix-des-terres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Иста тема, обрађена из података о трансакцијама (DVF), са картом цена пољопривредног земљишта.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CropScape — USDA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can-lsykq7esko0wc-rtn">
              <w:r>
                <w:rPr>
                  <w:rStyle w:val="Hyperlink"/>
                  <w:sz w:val="16"/>
                  <w:szCs w:val="16"/>
                </w:rPr>
                <w:t xml:space="preserve">https://nassgeodata.gmu.edu/CropScape/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Мапа култура по годинама, уназад до 1997. Корисник бира подручје и добија статистику површина по култури, као и поређење две године. Директан узор за приказ култура и промене намене.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DVF — званични приказ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cqyb9ww2xh3bxfx5oov7u">
              <w:r>
                <w:rPr>
                  <w:rStyle w:val="Hyperlink"/>
                  <w:sz w:val="16"/>
                  <w:szCs w:val="16"/>
                </w:rPr>
                <w:t xml:space="preserve">https://app.dvf.etalab.gouv.fr/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Обухвата и пољопривредне парцеле, па се на истом приказу виде и грађевинске и пољопривредне трансакције.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3.6. Шумско земљиште</w:t>
      </w:r>
    </w:p>
    <w:p>
      <w:pPr>
        <w:keepNext/>
        <w:spacing w:after="160"/>
      </w:pPr>
      <w:r>
        <w:rPr>
          <w:i/>
          <w:iCs/>
          <w:color w:val="44606A"/>
        </w:rPr>
        <w:t xml:space="preserve">Мањи обим промета, али јасни просторни обрасци и одличан извор сателитских података.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Врста и старост састојине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Категоријска боја полигона преко сателитске подлоге.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Приступачност и близина шумских путева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Слој путне мреже испод, уз приказ удаљености до најближег пута.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Однос са заштићеним подручјима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Преклоп са границама заштићених подручја — где се промет догађа, а где је ограничен.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по хектару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КО, са пригушивањем ћелија у којима је премало трансакција.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Промена шумског покривача кроз време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Поређење два временска пресека, уз статистику промене за изабрано подручје.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Global Forest Watch — карта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aiykh9w0cmbm0dcbqfupf">
              <w:r>
                <w:rPr>
                  <w:rStyle w:val="Hyperlink"/>
                  <w:sz w:val="16"/>
                  <w:szCs w:val="16"/>
                </w:rPr>
                <w:t xml:space="preserve">https://www.globalforestwatch.org/map/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Промена шумског покривача од 2000. до данас, на сателитским снимцима, са слојевима по годинама.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Global Forest Watch — статистика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1kbsh2arwbltmn1hgj_hq">
              <w:r>
                <w:rPr>
                  <w:rStyle w:val="Hyperlink"/>
                  <w:sz w:val="16"/>
                  <w:szCs w:val="16"/>
                </w:rPr>
                <w:t xml:space="preserve">https://www.globalforestwatch.org/dashboards/global/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Бира се земља или регион и добија се комплет графикона о промени. Свака појединачна табела може се уградити на другу страницу — врло употребљив образац.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 prix des terres — шуме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hyhekalcqvzkfawakn4mt">
              <w:r>
                <w:rPr>
                  <w:rStyle w:val="Hyperlink"/>
                  <w:sz w:val="16"/>
                  <w:szCs w:val="16"/>
                </w:rPr>
                <w:t xml:space="preserve">https://www.le-prix-des-terres.fr/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Шумско земљиште као засебно тржиште, са сопственим ценама и картом.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3.7. Индустријски објекти и складишта</w:t>
      </w:r>
    </w:p>
    <w:p>
      <w:pPr>
        <w:keepNext/>
        <w:spacing w:after="160"/>
      </w:pPr>
      <w:r>
        <w:rPr>
          <w:i/>
          <w:iCs/>
          <w:color w:val="44606A"/>
        </w:rPr>
        <w:t xml:space="preserve">Вредност готово потпуно зависи од саобраћајне повезаности, што је идеално за приказ на карти.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Близина коридора, железнице и терминала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слојеви саобраћајне мреже као носећи мотив, а објекти као тачке на њима.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Површина плаца и висина хале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 где висина представља стварну висину хале — овде је 3Д функционалан, а не украс.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Слободне зоне и индустријске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зона као подлога, уз поређење цена унутар и изван зоне.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Логистичка доступност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 вожње теретним возилом (30/60/90 минута) од објекта до коридора или границе.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CoStar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mmdtltcnlt9k-hstz9xzg">
              <w:r>
                <w:rPr>
                  <w:rStyle w:val="Hyperlink"/>
                  <w:sz w:val="16"/>
                  <w:szCs w:val="16"/>
                </w:rPr>
                <w:t xml:space="preserve">https://www.costar.com/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Складишта и индустријски објекти са комплетним скупом техничких атрибута (висина, докови, приступ).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Regrid (САД и Канада)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prjemxk3w6uux0cpheihj">
              <w:r>
                <w:rPr>
                  <w:rStyle w:val="Hyperlink"/>
                  <w:sz w:val="16"/>
                  <w:szCs w:val="16"/>
                </w:rPr>
                <w:t xml:space="preserve">https://regrid.com/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Границе парцела и намена, што омогућава анализу индустријских зона као целина, а не појединачних објеката.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3.8. Гараже, помоћни објекти и викендице</w:t>
      </w:r>
    </w:p>
    <w:p>
      <w:pPr>
        <w:keepNext/>
        <w:spacing w:after="160"/>
      </w:pPr>
      <w:r>
        <w:rPr>
          <w:i/>
          <w:iCs/>
          <w:color w:val="44606A"/>
        </w:rPr>
        <w:t xml:space="preserve">Мали типови, али са по једним занимљивим односом који вреди приказати.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је интересантно за приказ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Како то визуелизовати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Гараже: цена гараже у односу на цену стана у истој згради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односа, изражена у процентима. Јасан и лако разумљив показатељ притиска на паркинг у градским зонама.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Помоћни објекти: удео у укупној вредности имања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преко ортофота, где се види однос површина под објектима и слободног земљишта.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Викендице: планинске, бањске и језерске зоне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Издвојене туристичке зоне са сопственом палетом; поређење са општинским просеком.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Сезоналност промета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по месецима — мали вишеструки прикази или временски клизач.</w:t>
            </w:r>
          </w:p>
        </w:tc>
      </w:tr>
    </w:tbl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Boliga (Данска)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c8mbx3wevaux4kojptxqg">
              <w:r>
                <w:rPr>
                  <w:rStyle w:val="Hyperlink"/>
                  <w:sz w:val="16"/>
                  <w:szCs w:val="16"/>
                </w:rPr>
                <w:t xml:space="preserve">https://www.boliga.dk/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Огласи са координатом, ценом, површином, енергетским разредом и бројем дана на тржишту — уредан пример скупа поља који је стварно потребан.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Hemnet (Шведска)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f0dehfyey05yrcej1shui">
              <w:r>
                <w:rPr>
                  <w:rStyle w:val="Hyperlink"/>
                  <w:sz w:val="16"/>
                  <w:szCs w:val="16"/>
                </w:rPr>
                <w:t xml:space="preserve">https://www.hemnet.se/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Уздржан приказ: пригушена подлога, једна боја наглашавања, фотографија носи страницу.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Каталог начина визуелизације</w:t>
      </w:r>
    </w:p>
    <w:p>
      <w:pPr>
        <w:keepNext/>
        <w:spacing w:after="140"/>
      </w:pPr>
      <w:r>
        <w:t xml:space="preserve">Кратак преглед техника поменутих у документу, са напоменом када их не треба користити.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Техника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Намена и ограничење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Тачке и груписање (кластери)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Основни приказ појединачних непокретности. Груписане тачке треба да носе и вредност (боја = медијана цене), не само број.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Ценовне ознаке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Уместо тачке се приказује сам износ. Ради само при великом зуму, до неколико десетина видљивих ознака.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Хексагонална мрежа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Најбољи начин за ценовну површину. Ћелије су једнаке површине, за разлику од КО.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Хороплет по КО или општини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Најразумљивији приказ за јавност. Обавезно нормализована вредност и обавезно сузбијање ћелија са премало података.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Топлотна мапа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 за густину, односно за број трансакција. Никада за цену — то је најчешћа и најозбиљнија грешка на оваквим приказима.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3Д екструзија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спратност, висину хале, дозвољену изградњу. Никада као једини приказ, јер виши објекти заклањају ниже.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Бивариантна мапа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податка истовремено (цена и бонитет, цена и старост). Захтева добро објашњену легенду.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Мапа промене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Приказ разлике између два периода, дивергентном палетом око нуле. По правилу најинформативнији појединачни приказ.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Пропорционални симболи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Величина носи количину. Скалирати по површини круга, не по полупречнику.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Изохроне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Зоне доступности у минутима. Најкорисније као филтер, а не само као слој.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Линијски (улични) приказ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пословне локале и саобраћајну повезаност.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Подељени екран са клизачем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Поређење два стања истог подручја — пре и после комасације, две године, план и стварност.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Мали вишеструки прикази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Више малих карата у низу, са истом легендом. Најбољи начин за приказ промене кроз време.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Повезани панели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Карта, хистограм и табела који се међусобно филтрирају. Ту се налази највећи део аналитичке вредности.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Приказ статистике уз карту</w:t>
      </w:r>
    </w:p>
    <w:p>
      <w:pPr>
        <w:spacing w:after="140"/>
      </w:pPr>
      <w:r>
        <w:t xml:space="preserve">Карта без бројева је слика, а не алат. На свим добрим примерима постоји панел са статистиком који се мења заједно са оним што је на карти изабрано — када корисник помери карту, исцрта зону или кликне на општину, бројеви се поново израчунавају за тај избор. То је, у пракси, оно што раздваја употребљив приказ од илустрације.</w:t>
      </w:r>
    </w:p>
    <w:p>
      <w:pPr>
        <w:spacing w:after="100"/>
      </w:pPr>
      <w:r>
        <w:t xml:space="preserve">Показатељи који би требало да стоје уз сваки приказ:</w:t>
      </w:r>
    </w:p>
    <w:p>
      <w:pPr>
        <w:pStyle w:val="ListParagraph"/>
        <w:numPr>
          <w:ilvl w:val="0"/>
          <w:numId w:val="2"/>
        </w:numPr>
      </w:pPr>
      <w:r>
        <w:t xml:space="preserve">Број трансакција на основу којих је вредност израчуната — без овога вредност није проверљива.</w:t>
      </w:r>
    </w:p>
    <w:p>
      <w:pPr>
        <w:pStyle w:val="ListParagraph"/>
        <w:numPr>
          <w:ilvl w:val="0"/>
          <w:numId w:val="2"/>
        </w:numPr>
      </w:pPr>
      <w:r>
        <w:t xml:space="preserve">Медијана, а не аритметичка средина; аритметичку средину поквари неколико изузетака.</w:t>
      </w:r>
    </w:p>
    <w:p>
      <w:pPr>
        <w:pStyle w:val="ListParagraph"/>
        <w:numPr>
          <w:ilvl w:val="0"/>
          <w:numId w:val="2"/>
        </w:numPr>
      </w:pPr>
      <w:r>
        <w:t xml:space="preserve">Распон (најнижа и највиша вредност) или међуквартилни распон.</w:t>
      </w:r>
    </w:p>
    <w:p>
      <w:pPr>
        <w:pStyle w:val="ListParagraph"/>
        <w:numPr>
          <w:ilvl w:val="0"/>
          <w:numId w:val="2"/>
        </w:numPr>
      </w:pPr>
      <w:r>
        <w:t xml:space="preserve">Кретање кроз време, као мали графикон уз број.</w:t>
      </w:r>
    </w:p>
    <w:p>
      <w:pPr>
        <w:pStyle w:val="ListParagraph"/>
        <w:numPr>
          <w:ilvl w:val="0"/>
          <w:numId w:val="2"/>
        </w:numPr>
      </w:pPr>
      <w:r>
        <w:t xml:space="preserve">Поређење са ширим подручјем: колико изабрана зона одступа од општинског или републичког просека.</w:t>
      </w:r>
    </w:p>
    <w:p>
      <w:pPr>
        <w:pStyle w:val="ListParagraph"/>
        <w:numPr>
          <w:ilvl w:val="0"/>
          <w:numId w:val="2"/>
        </w:numPr>
      </w:pPr>
      <w:r>
        <w:t xml:space="preserve">Датум ажурирања података и период који је обухваћен.</w:t>
      </w:r>
    </w:p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Примери приказа статистике на страним сајтовима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Redfin Data Center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pyjc6o1dfnvk2rooakapk">
              <w:r>
                <w:rPr>
                  <w:rStyle w:val="Hyperlink"/>
                  <w:sz w:val="16"/>
                  <w:szCs w:val="16"/>
                </w:rPr>
                <w:t xml:space="preserve">https://www.redfin.com/news/data-center/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Најпотпунији пример: медијана цене, број продаја, залихе и дани на тржишту, по подручјима, са графиконима и преузимањем целог скупа.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Global Forest Watch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wbravimdjqlhexdlfnmar">
              <w:r>
                <w:rPr>
                  <w:rStyle w:val="Hyperlink"/>
                  <w:sz w:val="16"/>
                  <w:szCs w:val="16"/>
                </w:rPr>
                <w:t xml:space="preserve">https://www.globalforestwatch.org/dashboards/global/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Избор подручја на карти отвара комплет графикона за то подручје. Свака табела има сопствену адресу за дељење и може се уградити другде.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AcreValue — по држави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zq9je_awxirb2lrjr1dh7">
              <w:r>
                <w:rPr>
                  <w:rStyle w:val="Hyperlink"/>
                  <w:sz w:val="16"/>
                  <w:szCs w:val="16"/>
                </w:rPr>
                <w:t xml:space="preserve">https://www.acrevalue.com/map/NE/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Уз карту стоје број парцела, просечан бонитет и просечна цена по акру за изабрано подручје. Тачно онај облик сажетка који нама треба уз КО.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 prix des terres — SAFER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i9_2mebedhwghh4skw2m0">
              <w:r>
                <w:rPr>
                  <w:rStyle w:val="Hyperlink"/>
                  <w:sz w:val="16"/>
                  <w:szCs w:val="16"/>
                </w:rPr>
                <w:t xml:space="preserve">https://www.le-prix-des-terres.fr/carte/terre/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Просечне цене по општинама уз кратку анализу тржишта, са јасном напоменом да су у питању статистички просеци, а не процена конкретне парцеле.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DVF Explorer (Француска)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k5ozkitm8sk4mzhdonrap">
              <w:r>
                <w:rPr>
                  <w:rStyle w:val="Hyperlink"/>
                  <w:sz w:val="16"/>
                  <w:szCs w:val="16"/>
                </w:rPr>
                <w:t xml:space="preserve">https://dvfexplorer.fr/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Медијана цене по м², број продаја и кретање, приказани на нивоу општине и на нивоу адресе.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MeilleursAgents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ebhwlqtubdxtppwhosptd">
              <w:r>
                <w:rPr>
                  <w:rStyle w:val="Hyperlink"/>
                  <w:sz w:val="16"/>
                  <w:szCs w:val="16"/>
                </w:rPr>
                <w:t xml:space="preserve">https://www.meilleursagents.com/prix-immobilier/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Индекс поузданости од 1 до 5 уз сваку приказану цену. Најједноставнији начин да се призна да сви подаци нису једнако сигурни.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CropScape — USDA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qt5u-vlbmh5msor4senjo">
              <w:r>
                <w:rPr>
                  <w:rStyle w:val="Hyperlink"/>
                  <w:sz w:val="16"/>
                  <w:szCs w:val="16"/>
                </w:rPr>
                <w:t xml:space="preserve">https://nassgeodata.gmu.edu/CropScape/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Корисник бира подручје и добија статистику површина по култури, као и поређење две изабране године.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ONS (В. Британија)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ufpgjqsbpiy2qfsn26n8_">
              <w:r>
                <w:rPr>
                  <w:rStyle w:val="Hyperlink"/>
                  <w:sz w:val="16"/>
                  <w:szCs w:val="16"/>
                </w:rPr>
                <w:t xml:space="preserve">https://www.ons.gov.uk/datasets/house-prices-local-authority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Званичан пример како се одређује најмања просторна јединица за коју се статистика уопште сме објавити.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Zillow Research (САД)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posx6hwjwbvzoaiwzq5ii">
              <w:r>
                <w:rPr>
                  <w:rStyle w:val="Hyperlink"/>
                  <w:sz w:val="16"/>
                  <w:szCs w:val="16"/>
                </w:rPr>
                <w:t xml:space="preserve">https://www.zillow.com/research/data/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Изведени показатељи објављени као засебан скуп података за преузимање, одвојено од самог приказа.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Remonter le temps — IGN (Француска)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wzcjis-w9gyriuqxydrsn">
              <w:r>
                <w:rPr>
                  <w:rStyle w:val="Hyperlink"/>
                  <w:sz w:val="16"/>
                  <w:szCs w:val="16"/>
                </w:rPr>
                <w:t xml:space="preserve">https://remonterletemps.ign.fr/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Није о непокретностима, али има најбоље решен приказ поређења два стања истог подручја: две подлоге, клизач и подешавање прозирности. Директно применљиво на приказ пре и после комасације.</w:t>
            </w:r>
          </w:p>
        </w:tc>
      </w:tr>
    </w:tbl>
    <w:p>
      <w:pPr>
        <w:spacing w:after="120"/>
      </w:pPr>
    </w:p>
    <w:p>
      <w:pPr>
        <w:keepNext/>
        <w:spacing w:after="80" w:before="180"/>
      </w:pPr>
      <w:r>
        <w:rPr>
          <w:b/>
          <w:bCs/>
          <w:color w:val="1F4E5F"/>
          <w:sz w:val="19"/>
          <w:szCs w:val="19"/>
        </w:rPr>
        <w:t xml:space="preserve">Алати за брзо испробавање идеја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2000"/>
        <w:gridCol w:w="3300"/>
        <w:gridCol w:w="4338"/>
      </w:tblGrid>
      <w:tr>
        <w:trPr>
          <w:cantSplit/>
          <w:tblHeader/>
        </w:trPr>
        <w:tc>
          <w:tcPr>
            <w:tcW w:type="dxa" w:w="20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Сајт</w:t>
            </w:r>
          </w:p>
        </w:tc>
        <w:tc>
          <w:tcPr>
            <w:tcW w:type="dxa" w:w="33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Адреса</w:t>
            </w:r>
          </w:p>
        </w:tc>
        <w:tc>
          <w:tcPr>
            <w:tcW w:type="dxa" w:w="43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тамо погледати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kepler.gl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fv5y2mhegjlwex9jndjpn">
              <w:r>
                <w:rPr>
                  <w:rStyle w:val="Hyperlink"/>
                  <w:sz w:val="16"/>
                  <w:szCs w:val="16"/>
                </w:rPr>
                <w:t xml:space="preserve">https://kepler.gl/demo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Превуче се табела са координатама и за неколико минута се добије радна карта — тачке, хексагони, топлотна мапа. Вреди урадити пре него што се било шта развија.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deck.gl — примери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zcrxdplu5a-hajv8lf7fu">
              <w:r>
                <w:rPr>
                  <w:rStyle w:val="Hyperlink"/>
                  <w:sz w:val="16"/>
                  <w:szCs w:val="16"/>
                </w:rPr>
                <w:t xml:space="preserve">https://deck.gl/examples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Готови примери за хексагоналну мрежу, 3Д екструзију и велике скупове података.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Datawrapper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hyperlink w:history="1" r:id="rIdijzqss919g0uvjve5uujf">
              <w:r>
                <w:rPr>
                  <w:rStyle w:val="Hyperlink"/>
                  <w:sz w:val="16"/>
                  <w:szCs w:val="16"/>
                </w:rPr>
                <w:t xml:space="preserve">https://www.datawrapper.de/maps</w:t>
              </w:r>
            </w:hyperlink>
          </w:p>
        </w:tc>
        <w:tc>
          <w:tcPr>
            <w:tcW w:type="dxa" w:w="43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Прављење уредних хороплет карата са добром легендом, без програмирања.</w:t>
            </w:r>
          </w:p>
        </w:tc>
      </w:tr>
      <w:tr>
        <w:trPr>
          <w:cantSplit/>
        </w:trPr>
        <w:tc>
          <w:tcPr>
            <w:tcW w:type="dxa" w:w="20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Felt</w:t>
            </w:r>
          </w:p>
        </w:tc>
        <w:tc>
          <w:tcPr>
            <w:tcW w:type="dxa" w:w="3300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hyperlink w:history="1" r:id="rIddaddb8wsueaek1hgnpzej">
              <w:r>
                <w:rPr>
                  <w:rStyle w:val="Hyperlink"/>
                  <w:sz w:val="16"/>
                  <w:szCs w:val="16"/>
                </w:rPr>
                <w:t xml:space="preserve">https://felt.com/</w:t>
              </w:r>
            </w:hyperlink>
          </w:p>
        </w:tc>
        <w:tc>
          <w:tcPr>
            <w:tcW w:type="dxa" w:w="4338"/>
            <w:shd w:fill="EF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Заједнички рад на карти, коментарисање и дељење.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Идеје за рад корисника са приказом</w:t>
      </w:r>
    </w:p>
    <w:p>
      <w:pPr>
        <w:pStyle w:val="ListParagraph"/>
        <w:numPr>
          <w:ilvl w:val="0"/>
          <w:numId w:val="2"/>
        </w:numPr>
      </w:pPr>
      <w:r>
        <w:t xml:space="preserve">Исцртавање сопствене зоне на карти и добијање статистике само за њу — најтраженија функција на оваквим приказима.</w:t>
      </w:r>
    </w:p>
    <w:p>
      <w:pPr>
        <w:pStyle w:val="ListParagraph"/>
        <w:numPr>
          <w:ilvl w:val="0"/>
          <w:numId w:val="2"/>
        </w:numPr>
      </w:pPr>
      <w:r>
        <w:t xml:space="preserve">Клик на парцелу или објекат отвара картон са свим атрибутима; карта остаје видљива.</w:t>
      </w:r>
    </w:p>
    <w:p>
      <w:pPr>
        <w:pStyle w:val="ListParagraph"/>
        <w:numPr>
          <w:ilvl w:val="0"/>
          <w:numId w:val="2"/>
        </w:numPr>
      </w:pPr>
      <w:r>
        <w:t xml:space="preserve">Филтери приказани као уклоњиве ознаке, тако да корисник у сваком тренутку види шта је укључено.</w:t>
      </w:r>
    </w:p>
    <w:p>
      <w:pPr>
        <w:pStyle w:val="ListParagraph"/>
        <w:numPr>
          <w:ilvl w:val="0"/>
          <w:numId w:val="2"/>
        </w:numPr>
      </w:pPr>
      <w:r>
        <w:t xml:space="preserve">Временски клизач за преглед стања по годинама, уз фиксиране класе да би поређење било могуће.</w:t>
      </w:r>
    </w:p>
    <w:p>
      <w:pPr>
        <w:pStyle w:val="ListParagraph"/>
        <w:numPr>
          <w:ilvl w:val="0"/>
          <w:numId w:val="2"/>
        </w:numPr>
      </w:pPr>
      <w:r>
        <w:t xml:space="preserve">Дељива адреса приказа: положај карте, зум и сви филтери уписани у линк.</w:t>
      </w:r>
    </w:p>
    <w:p>
      <w:pPr>
        <w:pStyle w:val="ListParagraph"/>
        <w:numPr>
          <w:ilvl w:val="0"/>
          <w:numId w:val="2"/>
        </w:numPr>
      </w:pPr>
      <w:r>
        <w:t xml:space="preserve">Поређење две зоне једне поред друге, са истим мерилом и истом легендом.</w:t>
      </w:r>
    </w:p>
    <w:p>
      <w:pPr>
        <w:pStyle w:val="ListParagraph"/>
        <w:numPr>
          <w:ilvl w:val="0"/>
          <w:numId w:val="2"/>
        </w:numPr>
      </w:pPr>
      <w:r>
        <w:t xml:space="preserve">Преузимање изабраног скупа у табеларном облику — карта која не даје податке губи стручну публику.</w:t>
      </w:r>
    </w:p>
    <w:p>
      <w:pPr>
        <w:pStyle w:val="ListParagraph"/>
        <w:numPr>
          <w:ilvl w:val="0"/>
          <w:numId w:val="2"/>
        </w:numPr>
      </w:pPr>
      <w:r>
        <w:t xml:space="preserve">Прекидач за ортофото подлогу; за земљиште је то готово обавезно.</w:t>
      </w:r>
    </w:p>
    <w:p>
      <w:pPr>
        <w:pStyle w:val="ListParagraph"/>
        <w:numPr>
          <w:ilvl w:val="0"/>
          <w:numId w:val="2"/>
        </w:numPr>
      </w:pPr>
      <w:r>
        <w:t xml:space="preserve">Приказ броја трансакција на основу којих је вредност израчуната, уз сваку приказану вредност.</w:t>
      </w:r>
    </w:p>
    <w:p>
      <w:pPr>
        <w:spacing w:after="120"/>
      </w:pPr>
    </w:p>
    <w:p>
      <w:pPr>
        <w:pStyle w:val="Heading1"/>
      </w:pPr>
      <w:r>
        <w:t xml:space="preserve">7. Предлог редоследа</w:t>
      </w:r>
    </w:p>
    <w:p>
      <w:pPr>
        <w:pStyle w:val="Heading3"/>
      </w:pPr>
      <w:r>
        <w:t xml:space="preserve">Прва фаза — брзо, са видљивим ефектом</w:t>
      </w:r>
    </w:p>
    <w:p>
      <w:pPr>
        <w:pStyle w:val="ListParagraph"/>
        <w:numPr>
          <w:ilvl w:val="0"/>
          <w:numId w:val="2"/>
        </w:numPr>
      </w:pPr>
      <w:r>
        <w:t xml:space="preserve">Хороплет по КО за станове и за пољопривредно земљиште, са медијаном нормализоване цене и приказом броја трансакција.</w:t>
      </w:r>
    </w:p>
    <w:p>
      <w:pPr>
        <w:pStyle w:val="ListParagraph"/>
        <w:numPr>
          <w:ilvl w:val="0"/>
          <w:numId w:val="2"/>
        </w:numPr>
      </w:pPr>
      <w:r>
        <w:t xml:space="preserve">Панел са статистиком који прати оно што је на карти изабрано.</w:t>
      </w:r>
    </w:p>
    <w:p>
      <w:pPr>
        <w:pStyle w:val="ListParagraph"/>
        <w:numPr>
          <w:ilvl w:val="0"/>
          <w:numId w:val="2"/>
        </w:numPr>
      </w:pPr>
      <w:r>
        <w:t xml:space="preserve">Клик на парцелу са приказом атрибута.</w:t>
      </w:r>
    </w:p>
    <w:p>
      <w:pPr>
        <w:pStyle w:val="ListParagraph"/>
        <w:numPr>
          <w:ilvl w:val="0"/>
          <w:numId w:val="2"/>
        </w:numPr>
      </w:pPr>
      <w:r>
        <w:t xml:space="preserve">Ортофото подлога и прекидач слојева.</w:t>
      </w:r>
    </w:p>
    <w:p>
      <w:pPr>
        <w:pStyle w:val="Heading3"/>
      </w:pPr>
      <w:r>
        <w:t xml:space="preserve">Друга фаза — аналитичка вредност</w:t>
      </w:r>
    </w:p>
    <w:p>
      <w:pPr>
        <w:pStyle w:val="ListParagraph"/>
        <w:numPr>
          <w:ilvl w:val="0"/>
          <w:numId w:val="2"/>
        </w:numPr>
      </w:pPr>
      <w:r>
        <w:t xml:space="preserve">Хексагонална мрежа за градска подручја.</w:t>
      </w:r>
    </w:p>
    <w:p>
      <w:pPr>
        <w:pStyle w:val="ListParagraph"/>
        <w:numPr>
          <w:ilvl w:val="0"/>
          <w:numId w:val="2"/>
        </w:numPr>
      </w:pPr>
      <w:r>
        <w:t xml:space="preserve">Временска компонента: мапа промене и клизач по годинама.</w:t>
      </w:r>
    </w:p>
    <w:p>
      <w:pPr>
        <w:pStyle w:val="ListParagraph"/>
        <w:numPr>
          <w:ilvl w:val="0"/>
          <w:numId w:val="2"/>
        </w:numPr>
      </w:pPr>
      <w:r>
        <w:t xml:space="preserve">Повезани панели: карта, хистограм и табела.</w:t>
      </w:r>
    </w:p>
    <w:p>
      <w:pPr>
        <w:pStyle w:val="Heading3"/>
      </w:pPr>
      <w:r>
        <w:t xml:space="preserve">Трећа фаза — оно што издваја приказ</w:t>
      </w:r>
    </w:p>
    <w:p>
      <w:pPr>
        <w:pStyle w:val="ListParagraph"/>
        <w:numPr>
          <w:ilvl w:val="0"/>
          <w:numId w:val="2"/>
        </w:numPr>
      </w:pPr>
      <w:r>
        <w:t xml:space="preserve">Преклоп планске намене и остварених цена за грађевинско земљиште.</w:t>
      </w:r>
    </w:p>
    <w:p>
      <w:pPr>
        <w:pStyle w:val="ListParagraph"/>
        <w:numPr>
          <w:ilvl w:val="0"/>
          <w:numId w:val="2"/>
        </w:numPr>
      </w:pPr>
      <w:r>
        <w:t xml:space="preserve">Бивариантна мапа цене и бонитета за пољопривредно земљиште, по угледу на AcreValue.</w:t>
      </w:r>
    </w:p>
    <w:p>
      <w:pPr>
        <w:pStyle w:val="ListParagraph"/>
        <w:numPr>
          <w:ilvl w:val="0"/>
          <w:numId w:val="2"/>
        </w:numPr>
      </w:pPr>
      <w:r>
        <w:t xml:space="preserve">3Д приказ за градско језгро и изохроне као филтер.</w:t>
      </w:r>
    </w:p>
    <w:p>
      <w:pPr>
        <w:pStyle w:val="ListParagraph"/>
        <w:numPr>
          <w:ilvl w:val="0"/>
          <w:numId w:val="2"/>
        </w:numPr>
      </w:pPr>
      <w:r>
        <w:t xml:space="preserve">Подељени екран за поређење стања пре и после комасације.</w:t>
      </w:r>
    </w:p>
    <w:p>
      <w:pPr>
        <w:spacing w:after="120"/>
      </w:pPr>
    </w:p>
    <w:p>
      <w:pPr>
        <w:pStyle w:val="Heading1"/>
      </w:pPr>
      <w:r>
        <w:t xml:space="preserve">8. На шта посебно обратити пажњу</w:t>
      </w:r>
    </w:p>
    <w:p>
      <w:pPr>
        <w:pStyle w:val="ListParagraph"/>
        <w:numPr>
          <w:ilvl w:val="0"/>
          <w:numId w:val="2"/>
        </w:numPr>
      </w:pPr>
      <w:r>
        <w:t xml:space="preserve">Цена мора бити нормализована. Мапа апсолутних цена је у пракси мапа површина.</w:t>
      </w:r>
    </w:p>
    <w:p>
      <w:pPr>
        <w:pStyle w:val="ListParagraph"/>
        <w:numPr>
          <w:ilvl w:val="0"/>
          <w:numId w:val="2"/>
        </w:numPr>
      </w:pPr>
      <w:r>
        <w:t xml:space="preserve">Мали узорак. Медијана из две трансакције није податак. Ћелије испод одређеног броја сузбити и то јасно означити у легенди.</w:t>
      </w:r>
    </w:p>
    <w:p>
      <w:pPr>
        <w:pStyle w:val="ListParagraph"/>
        <w:numPr>
          <w:ilvl w:val="0"/>
          <w:numId w:val="2"/>
        </w:numPr>
      </w:pPr>
      <w:r>
        <w:t xml:space="preserve">Топлотна мапа не сме приказивати цену, само густину.</w:t>
      </w:r>
    </w:p>
    <w:p>
      <w:pPr>
        <w:pStyle w:val="ListParagraph"/>
        <w:numPr>
          <w:ilvl w:val="0"/>
          <w:numId w:val="2"/>
        </w:numPr>
      </w:pPr>
      <w:r>
        <w:t xml:space="preserve">Прецизне и приближне координате не смеју изгледати исто. Ако је тачка добијена из центроида насеља, то мора бити видљиво.</w:t>
      </w:r>
    </w:p>
    <w:p>
      <w:pPr>
        <w:pStyle w:val="ListParagraph"/>
        <w:numPr>
          <w:ilvl w:val="0"/>
          <w:numId w:val="2"/>
        </w:numPr>
      </w:pPr>
      <w:r>
        <w:t xml:space="preserve">Тражена и уговорена цена су два различита податка и не смеју се мешати на истом приказу.</w:t>
      </w:r>
    </w:p>
    <w:p>
      <w:pPr>
        <w:pStyle w:val="ListParagraph"/>
        <w:numPr>
          <w:ilvl w:val="0"/>
          <w:numId w:val="2"/>
        </w:numPr>
      </w:pPr>
      <w:r>
        <w:t xml:space="preserve">Класе се фиксирају када се пореди кроз време или између приказа; иначе поређење губи смисао.</w:t>
      </w:r>
    </w:p>
    <w:p>
      <w:pPr>
        <w:pStyle w:val="ListParagraph"/>
        <w:numPr>
          <w:ilvl w:val="0"/>
          <w:numId w:val="2"/>
        </w:numPr>
      </w:pPr>
      <w:r>
        <w:t xml:space="preserve">Заштита података о личности: појединачне трансакције приказивати тако да се не могу повезати са конкретним лицима.</w:t>
      </w:r>
    </w:p>
    <w:p>
      <w:pPr>
        <w:pStyle w:val="ListParagraph"/>
        <w:numPr>
          <w:ilvl w:val="0"/>
          <w:numId w:val="2"/>
        </w:numPr>
      </w:pPr>
      <w:r>
        <w:t xml:space="preserve">Различити координатни системи у улазним подацима. Трансформација се ради једном, у припреми података, а не у приказу.</w:t>
      </w:r>
    </w:p>
    <w:p>
      <w:pPr>
        <w:pStyle w:val="ListParagraph"/>
        <w:numPr>
          <w:ilvl w:val="0"/>
          <w:numId w:val="2"/>
        </w:numPr>
      </w:pPr>
      <w:r>
        <w:t xml:space="preserve">Границе КО и општина се мењају — уз сваки слој водити податак о датуму важења.</w:t>
      </w:r>
    </w:p>
    <w:p>
      <w:pPr>
        <w:pStyle w:val="ListParagraph"/>
        <w:numPr>
          <w:ilvl w:val="0"/>
          <w:numId w:val="2"/>
        </w:numPr>
      </w:pPr>
      <w:r>
        <w:t xml:space="preserve">Статистички просек није процена конкретне непокретности. Ово ограничење изричито наводе и SAFER и AcreValue, и требало би да стоји уз сваки наш приказ.</w:t>
      </w:r>
    </w:p>
    <w:p>
      <w:pPr>
        <w:spacing w:after="120"/>
      </w:pPr>
    </w:p>
    <w:p>
      <w:pPr>
        <w:pStyle w:val="Heading1"/>
      </w:pPr>
      <w:r>
        <w:t xml:space="preserve">9. Могући извори података</w:t>
      </w:r>
    </w:p>
    <w:tbl>
      <w:tblPr>
        <w:tblW w:type="dxa" w:w="9638"/>
        <w:tblBorders>
          <w:top w:val="single" w:color="C6D6DA" w:sz="2"/>
          <w:left w:val="single" w:color="C6D6DA" w:sz="2"/>
          <w:bottom w:val="single" w:color="C6D6DA" w:sz="2"/>
          <w:right w:val="single" w:color="C6D6DA" w:sz="2"/>
          <w:insideH w:val="single" w:color="DCE7EA" w:sz="2"/>
          <w:insideV w:val="single" w:color="DCE7EA" w:sz="2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Извор</w:t>
            </w:r>
          </w:p>
        </w:tc>
        <w:tc>
          <w:tcPr>
            <w:tcW w:type="dxa" w:w="6138"/>
            <w:shd w:fill="E4ED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Шта даје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Регистар цена непокретности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Остварене цене из уговора — основни слој за све ценовне приказе.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Дигитални катастарски план и еКатастар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Полигони парцела, култура, класа, површина, објекти.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Адресни регистар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Повезивање адресе са координатом за податке који немају број парцеле.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ГеоСрбија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Ортофото, границе, тематски слојеви, сервиси за преузимање.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документација (ПГР и ПДР)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Планска намена и параметри изградње за грађевинско земљиште.</w:t>
            </w:r>
          </w:p>
        </w:tc>
      </w:tr>
      <w:tr>
        <w:trPr>
          <w:cantSplit/>
        </w:trPr>
        <w:tc>
          <w:tcPr>
            <w:tcW w:type="dxa" w:w="3500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Републички завод за статистику</w:t>
            </w:r>
          </w:p>
        </w:tc>
        <w:tc>
          <w:tcPr>
            <w:tcW w:type="dxa" w:w="6138"/>
            <w:shd w:fill="F5F9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Попис, домаћинства, станови — за нормализацију по броју становника или домаћинстава.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6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Путна мрежа, објекти од интереса, подлога. Проверити услове коришћења.</w:t>
            </w:r>
          </w:p>
        </w:tc>
      </w:tr>
    </w:tbl>
    <w:p>
      <w:pPr>
        <w:spacing w:after="120"/>
      </w:pPr>
    </w:p>
    <w:p>
      <w:pPr>
        <w:pBdr>
          <w:top w:val="single" w:color="C6D6DA" w:sz="6" w:space="8"/>
        </w:pBdr>
        <w:spacing w:before="300"/>
      </w:pPr>
      <w:r>
        <w:rPr>
          <w:i/>
          <w:iCs/>
          <w:color w:val="6B7F86"/>
          <w:sz w:val="18"/>
          <w:szCs w:val="18"/>
        </w:rPr>
        <w:t xml:space="preserve">Напомена: документ садржи само идеје за приказ и упућивање на постојећа страна решења. Технички део — начин припреме података, координатни системи, агрегација и начин објављивања — обрађује се засебно. Адресе су проверене у августу 2026.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9AAAB0"/>
        <w:sz w:val="17"/>
        <w:szCs w:val="17"/>
      </w:rPr>
      <w:t xml:space="preserve">Јелица Симић</w:t>
    </w:r>
    <w:r>
      <w:rPr>
        <w:color w:val="9AAAB0"/>
        <w:sz w:val="17"/>
        <w:szCs w:val="17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A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80"/>
    </w:pPr>
    <w:rPr>
      <w:rFonts w:ascii="Cambria" w:cs="Cambria" w:eastAsia="Cambria" w:hAnsi="Cambria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320"/>
    </w:pPr>
    <w:rPr>
      <w:rFonts w:ascii="Cambria" w:cs="Cambria" w:eastAsia="Cambria" w:hAnsi="Cambria"/>
      <w:b/>
      <w:bCs/>
      <w:color w:val="3C7A8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</w:pPr>
    <w:rPr>
      <w:rFonts w:ascii="Cambria" w:cs="Cambria" w:eastAsia="Cambria" w:hAnsi="Cambria"/>
      <w:b/>
      <w:bCs/>
      <w:color w:val="3C7A8C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 w:color="1155C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7lfzuahhrmogmbj55kar" Type="http://schemas.openxmlformats.org/officeDocument/2006/relationships/hyperlink" Target="https://www.meilleursagents.com/prix-immobilier/" TargetMode="External"/><Relationship Id="rId5061eowhkgrdwddhoc5vi" Type="http://schemas.openxmlformats.org/officeDocument/2006/relationships/hyperlink" Target="https://app.dvf.etalab.gouv.fr/" TargetMode="External"/><Relationship Id="rId9s4fhcsffdwavhlryguh_" Type="http://schemas.openxmlformats.org/officeDocument/2006/relationships/hyperlink" Target="https://dvfexplorer.fr/" TargetMode="External"/><Relationship Id="rIdtlca1rodxzxourij9cfsk" Type="http://schemas.openxmlformats.org/officeDocument/2006/relationships/hyperlink" Target="https://www.redfin.com/news/data-center/" TargetMode="External"/><Relationship Id="rIddtwe-n4z55qo3qao5tvof" Type="http://schemas.openxmlformats.org/officeDocument/2006/relationships/hyperlink" Target="https://www.bienici.com/carte" TargetMode="External"/><Relationship Id="rIdxewmux1g1wcp9rn-dg-ft" Type="http://schemas.openxmlformats.org/officeDocument/2006/relationships/hyperlink" Target="https://housemetric.co.uk/map/" TargetMode="External"/><Relationship Id="rId1zgeq9yhuvfs7zswuugas" Type="http://schemas.openxmlformats.org/officeDocument/2006/relationships/hyperlink" Target="https://www.ons.gov.uk/datasets/house-prices-local-authority" TargetMode="External"/><Relationship Id="rIdlfamm2vou6yz_otimqr4p" Type="http://schemas.openxmlformats.org/officeDocument/2006/relationships/hyperlink" Target="https://lifullhomes-satei.jp/price-map/view/" TargetMode="External"/><Relationship Id="rIdxxdzlt3zcb3t5q92lrqj5" Type="http://schemas.openxmlformats.org/officeDocument/2006/relationships/hyperlink" Target="https://homes.co.nz/map" TargetMode="External"/><Relationship Id="rIdxxhoalmajisfr4oe86aui" Type="http://schemas.openxmlformats.org/officeDocument/2006/relationships/hyperlink" Target="https://www.rightmove.co.uk/" TargetMode="External"/><Relationship Id="rIddgztv0lceqmz5t7ztf1wq" Type="http://schemas.openxmlformats.org/officeDocument/2006/relationships/hyperlink" Target="https://homes.co.nz/map" TargetMode="External"/><Relationship Id="rIdufe9qjjdwnzwt3job4kcw" Type="http://schemas.openxmlformats.org/officeDocument/2006/relationships/hyperlink" Target="https://housesigma.com/" TargetMode="External"/><Relationship Id="rIdkurdb2xjocjdedc5olsfy" Type="http://schemas.openxmlformats.org/officeDocument/2006/relationships/hyperlink" Target="https://www.domain.com.au/" TargetMode="External"/><Relationship Id="rIdjibqdnasb0e7x3xb29fb6" Type="http://schemas.openxmlformats.org/officeDocument/2006/relationships/hyperlink" Target="https://www.idealista.com/" TargetMode="External"/><Relationship Id="rIdmj5c5kh12pm0o3fb4w0ff" Type="http://schemas.openxmlformats.org/officeDocument/2006/relationships/hyperlink" Target="https://www.costar.com/" TargetMode="External"/><Relationship Id="rIdnr7ppyob7aw8kjiuo2_ni" Type="http://schemas.openxmlformats.org/officeDocument/2006/relationships/hyperlink" Target="https://zola.planninglabs.nyc/" TargetMode="External"/><Relationship Id="rId5pbnnjnmbiidjeudda9xd" Type="http://schemas.openxmlformats.org/officeDocument/2006/relationships/hyperlink" Target="https://www.realtor.com/" TargetMode="External"/><Relationship Id="rIdfj5sc3v7eyoixyw1rpsop" Type="http://schemas.openxmlformats.org/officeDocument/2006/relationships/hyperlink" Target="https://www.geoportail-urbanisme.gouv.fr/" TargetMode="External"/><Relationship Id="rIdn_2u0xhipssedcxkvcs2i" Type="http://schemas.openxmlformats.org/officeDocument/2006/relationships/hyperlink" Target="https://zola.planninglabs.nyc/" TargetMode="External"/><Relationship Id="rIdldbs2zl7egpgleilzlkvu" Type="http://schemas.openxmlformats.org/officeDocument/2006/relationships/hyperlink" Target="https://www.nyc.gov/site/planning/data-maps/open-data/dwn-pluto-mappluto.page" TargetMode="External"/><Relationship Id="rIdhvgkp1ehye982qzjblenc" Type="http://schemas.openxmlformats.org/officeDocument/2006/relationships/hyperlink" Target="https://cartes.gouv.fr/" TargetMode="External"/><Relationship Id="rIdv8kwwdrebfbjszghpqzuo" Type="http://schemas.openxmlformats.org/officeDocument/2006/relationships/hyperlink" Target="https://regrid.com/" TargetMode="External"/><Relationship Id="rIdj0_mtoyfp_r8tr_dlnn_d" Type="http://schemas.openxmlformats.org/officeDocument/2006/relationships/hyperlink" Target="https://www.acrevalue.com/" TargetMode="External"/><Relationship Id="rIdafhvgamccza8gq-ibpzs7" Type="http://schemas.openxmlformats.org/officeDocument/2006/relationships/hyperlink" Target="https://www.acrevalue.com/map/NE/" TargetMode="External"/><Relationship Id="rIdtcq21ic1kp3qvbhumteui" Type="http://schemas.openxmlformats.org/officeDocument/2006/relationships/hyperlink" Target="https://www.le-prix-des-terres.fr/carte/terre/" TargetMode="External"/><Relationship Id="rIdxnnivgectn2kzoeg77zvl" Type="http://schemas.openxmlformats.org/officeDocument/2006/relationships/hyperlink" Target="https://www.placedesterres.fr/outils/prix-des-terres" TargetMode="External"/><Relationship Id="rIdcan-lsykq7esko0wc-rtn" Type="http://schemas.openxmlformats.org/officeDocument/2006/relationships/hyperlink" Target="https://nassgeodata.gmu.edu/CropScape/" TargetMode="External"/><Relationship Id="rIdcqyb9ww2xh3bxfx5oov7u" Type="http://schemas.openxmlformats.org/officeDocument/2006/relationships/hyperlink" Target="https://app.dvf.etalab.gouv.fr/" TargetMode="External"/><Relationship Id="rIdaiykh9w0cmbm0dcbqfupf" Type="http://schemas.openxmlformats.org/officeDocument/2006/relationships/hyperlink" Target="https://www.globalforestwatch.org/map/" TargetMode="External"/><Relationship Id="rId1kbsh2arwbltmn1hgj_hq" Type="http://schemas.openxmlformats.org/officeDocument/2006/relationships/hyperlink" Target="https://www.globalforestwatch.org/dashboards/global/" TargetMode="External"/><Relationship Id="rIdhyhekalcqvzkfawakn4mt" Type="http://schemas.openxmlformats.org/officeDocument/2006/relationships/hyperlink" Target="https://www.le-prix-des-terres.fr/" TargetMode="External"/><Relationship Id="rIdmmdtltcnlt9k-hstz9xzg" Type="http://schemas.openxmlformats.org/officeDocument/2006/relationships/hyperlink" Target="https://www.costar.com/" TargetMode="External"/><Relationship Id="rIdprjemxk3w6uux0cpheihj" Type="http://schemas.openxmlformats.org/officeDocument/2006/relationships/hyperlink" Target="https://regrid.com/" TargetMode="External"/><Relationship Id="rIdc8mbx3wevaux4kojptxqg" Type="http://schemas.openxmlformats.org/officeDocument/2006/relationships/hyperlink" Target="https://www.boliga.dk/" TargetMode="External"/><Relationship Id="rIdf0dehfyey05yrcej1shui" Type="http://schemas.openxmlformats.org/officeDocument/2006/relationships/hyperlink" Target="https://www.hemnet.se/" TargetMode="External"/><Relationship Id="rIdpyjc6o1dfnvk2rooakapk" Type="http://schemas.openxmlformats.org/officeDocument/2006/relationships/hyperlink" Target="https://www.redfin.com/news/data-center/" TargetMode="External"/><Relationship Id="rIdwbravimdjqlhexdlfnmar" Type="http://schemas.openxmlformats.org/officeDocument/2006/relationships/hyperlink" Target="https://www.globalforestwatch.org/dashboards/global/" TargetMode="External"/><Relationship Id="rIdzq9je_awxirb2lrjr1dh7" Type="http://schemas.openxmlformats.org/officeDocument/2006/relationships/hyperlink" Target="https://www.acrevalue.com/map/NE/" TargetMode="External"/><Relationship Id="rIdi9_2mebedhwghh4skw2m0" Type="http://schemas.openxmlformats.org/officeDocument/2006/relationships/hyperlink" Target="https://www.le-prix-des-terres.fr/carte/terre/" TargetMode="External"/><Relationship Id="rIdk5ozkitm8sk4mzhdonrap" Type="http://schemas.openxmlformats.org/officeDocument/2006/relationships/hyperlink" Target="https://dvfexplorer.fr/" TargetMode="External"/><Relationship Id="rIdebhwlqtubdxtppwhosptd" Type="http://schemas.openxmlformats.org/officeDocument/2006/relationships/hyperlink" Target="https://www.meilleursagents.com/prix-immobilier/" TargetMode="External"/><Relationship Id="rIdqt5u-vlbmh5msor4senjo" Type="http://schemas.openxmlformats.org/officeDocument/2006/relationships/hyperlink" Target="https://nassgeodata.gmu.edu/CropScape/" TargetMode="External"/><Relationship Id="rIdufpgjqsbpiy2qfsn26n8_" Type="http://schemas.openxmlformats.org/officeDocument/2006/relationships/hyperlink" Target="https://www.ons.gov.uk/datasets/house-prices-local-authority" TargetMode="External"/><Relationship Id="rIdposx6hwjwbvzoaiwzq5ii" Type="http://schemas.openxmlformats.org/officeDocument/2006/relationships/hyperlink" Target="https://www.zillow.com/research/data/" TargetMode="External"/><Relationship Id="rIdwzcjis-w9gyriuqxydrsn" Type="http://schemas.openxmlformats.org/officeDocument/2006/relationships/hyperlink" Target="https://remonterletemps.ign.fr/" TargetMode="External"/><Relationship Id="rIdfv5y2mhegjlwex9jndjpn" Type="http://schemas.openxmlformats.org/officeDocument/2006/relationships/hyperlink" Target="https://kepler.gl/demo" TargetMode="External"/><Relationship Id="rIdzcrxdplu5a-hajv8lf7fu" Type="http://schemas.openxmlformats.org/officeDocument/2006/relationships/hyperlink" Target="https://deck.gl/examples" TargetMode="External"/><Relationship Id="rIdijzqss919g0uvjve5uujf" Type="http://schemas.openxmlformats.org/officeDocument/2006/relationships/hyperlink" Target="https://www.datawrapper.de/maps" TargetMode="External"/><Relationship Id="rIddaddb8wsueaek1hgnpzej" Type="http://schemas.openxmlformats.org/officeDocument/2006/relationships/hyperlink" Target="https://felt.com/" TargetMode="External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Идеје за визуелизацију геопросторних података о непокретностима</dc:title>
  <dc:creator>Јелица Симић</dc:creator>
  <dc:description>Радни материјал — преглед идеја по типовима непокретности, са примерима</dc:description>
  <cp:lastModifiedBy>Јелица Симић</cp:lastModifiedBy>
  <cp:revision>1</cp:revision>
  <dcterms:created xsi:type="dcterms:W3CDTF">2026-08-25T12:08:26.895Z</dcterms:created>
  <dcterms:modified xsi:type="dcterms:W3CDTF">2026-08-25T12:08:26.897Z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