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3C7A8C"/>
          <w:spacing w:val="60"/>
          <w:sz w:val="18"/>
          <w:szCs w:val="18"/>
        </w:rPr>
        <w:t xml:space="preserve">РЕПУБЛИЧКИ ГЕОДЕТСКИ ЗАВОД</w:t>
      </w:r>
    </w:p>
    <w:p>
      <w:pPr>
        <w:pBdr>
          <w:bottom w:val="single" w:color="1F4E5F" w:sz="12" w:space="8"/>
        </w:pBdr>
        <w:spacing w:after="100"/>
      </w:pPr>
      <w:r>
        <w:rPr>
          <w:rFonts w:ascii="Cambria" w:cs="Cambria" w:eastAsia="Cambria" w:hAnsi="Cambria"/>
          <w:b/>
          <w:bCs/>
          <w:color w:val="1F4E5F"/>
          <w:sz w:val="40"/>
          <w:szCs w:val="40"/>
        </w:rPr>
        <w:t xml:space="preserve">Идеје за визуализацију геопросторних података о непокретностима</w:t>
      </w:r>
    </w:p>
    <w:p>
      <w:pPr>
        <w:spacing w:after="500" w:before="200"/>
      </w:pPr>
      <w:r>
        <w:rPr>
          <w:color w:val="6B7F86"/>
          <w:sz w:val="19"/>
          <w:szCs w:val="19"/>
        </w:rPr>
        <w:t xml:space="preserve">Радни материјал · преглед идеја по типовима непокретности · август 2026.</w:t>
      </w:r>
    </w:p>
    <w:p>
      <w:pPr>
        <w:pStyle w:val="Heading1"/>
      </w:pPr>
      <w:r>
        <w:t xml:space="preserve">1. Циљ документа</w:t>
      </w:r>
    </w:p>
    <w:p>
      <w:pPr>
        <w:spacing w:after="140"/>
      </w:pPr>
      <w:r>
        <w:t xml:space="preserve">Овај документ даје преглед идеја како се подаци о непокретностима могу приказати на карти тако да корисник из њих извуче закључак, а не само да види тачке. Полазна претпоставка је да располажемо табелом у којој сваки ред представља једну непокретност или једну трансакцију, са координатама или бројем парцеле, ценом, површином и осталим атрибутима.</w:t>
      </w:r>
    </w:p>
    <w:p>
      <w:pPr>
        <w:spacing w:after="140"/>
      </w:pPr>
      <w:r>
        <w:t xml:space="preserve">Кључна поставка: различити типови непокретности траже различите визуализације. Оно што добро ради за станове (цена по м², густа градска мрежа) потпуно је погрешно за пољопривредно земљиште (цена по хектару, велике парцеле, бонитет). Зато је документ организован по типовима непокретности, а не по техникама.</w:t>
      </w:r>
    </w:p>
    <w:p>
      <w:pPr>
        <w:spacing w:after="200"/>
      </w:pPr>
      <w:r>
        <w:t xml:space="preserve">У овој фази дајемо само идеје — без техничке спецификације и без процене рокова.</w:t>
      </w:r>
    </w:p>
    <w:p>
      <w:pPr>
        <w:pStyle w:val="Heading1"/>
      </w:pPr>
      <w:r>
        <w:t xml:space="preserve">2. Полазна основа: подаци и просторне јединице</w:t>
      </w:r>
    </w:p>
    <w:p>
      <w:pPr>
        <w:spacing w:after="120"/>
      </w:pPr>
      <w:r>
        <w:t xml:space="preserve">Пре избора визуализације треба се определити за просторну јединицу приказа. Свака носи другачију поруку: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Просторна јединица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Када је користити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Појединачна парцела / објекат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Када корисника занима конкретна непокретност. Обавезно преко ортофото подлоге. Приказ полигона, не тачке.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Катастарска општина (КО)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Природна јединица за наше податке и најлакша за објаснити кориснику. Мана: КО су веома неједнаке по величини, па велике сеоске КО визуелно доминирају.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Општина / град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националне прегледе и поређења. Превише груба за градске анализе.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Хексагонална мрежа (нпр. H3)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Ћелије једнаке површине, независне од административних граница, резолуција се бира по зуму. Најбоље за приказ ценовне површине.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(пословна, грађевинска)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Када постојећа зонска подела већ носи значење — нарочито за пословни простор и грађевинско земљиште.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Улица / потез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пословне локале у центру града; линијски приказ уместо тачкастог.</w:t>
            </w:r>
          </w:p>
        </w:tc>
      </w:tr>
    </w:tbl>
    <w:p>
      <w:pPr>
        <w:spacing w:after="120"/>
      </w:pPr>
    </w:p>
    <w:p>
      <w:pPr>
        <w:spacing w:after="200"/>
      </w:pPr>
      <w:r>
        <w:t xml:space="preserve">Друго правило које важи за све типове: цена се никада не приказује као апсолутни износ, него нормализована — по м², по ару или по хектару, у зависности од типа. Мапа апсолутних цена је у пракси мапа величине непокретности.</w:t>
      </w:r>
    </w:p>
    <w:p>
      <w:pPr>
        <w:pStyle w:val="Heading1"/>
      </w:pPr>
      <w:r>
        <w:t xml:space="preserve">3. Идеје по типовима непокретности</w:t>
      </w:r>
    </w:p>
    <w:p>
      <w:pPr>
        <w:pStyle w:val="Heading2"/>
      </w:pPr>
      <w:r>
        <w:t xml:space="preserve">3.1. Станови</w:t>
      </w:r>
    </w:p>
    <w:p>
      <w:pPr>
        <w:spacing w:after="160"/>
      </w:pPr>
      <w:r>
        <w:rPr>
          <w:i/>
          <w:iCs/>
          <w:color w:val="44606A"/>
        </w:rPr>
        <w:t xml:space="preserve">Најгушћи и најбогатији скуп података — овде има највише простора за занимљиве приказе.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Медијана цене по м² по зградама, улицама и блоковима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Хексагонална мрежа са медијаном цене по м². Избегава проблем неједнаких КО и лепо се понаша при зумирању.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Разлика између тражене и уговорене цене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односа две цене (уговорена / тражена) са дивергентном палетом око 100%. Показује где се стварно преговара, а где се плаћа тражено.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Старост зграде у односу на цену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Бивариантна мапа: цена по м² укрштена са годином изградње. Открива зоне где се плаћа локација, а не квалитет градње.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Структура станова — где има гарсоњера, а где четворособних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или филтер по структури — карта се перецртава при промени филтера, што одмах показује просторну поделу.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Спратност: колико вреди приземље, а колико поткровље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3Д екструзија зграда: висина зграде = стварна спратност, боја = цена по м². Најефектнији приказ за градско језгро.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 градња наспрам старог фонда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слоја исте мапе са преклопом или прекидачем, уз јасно раздвојене палете.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Интензитет промета — где се највише тргује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Топлотна мапа броја трансакција (не цене!). Показује ликвидност тржишта, што је често важније од саме цене.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Кретање цена кроз време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промене цене за изабрани период, дивергентна палета центрирана на нулу — најинформативнији појединачни приказ.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Породичне куће</w:t>
      </w:r>
    </w:p>
    <w:p>
      <w:pPr>
        <w:spacing w:after="160"/>
      </w:pPr>
      <w:r>
        <w:rPr>
          <w:i/>
          <w:iCs/>
          <w:color w:val="44606A"/>
        </w:rPr>
        <w:t xml:space="preserve">Овде постоје две цене истовремено — цена објекта и цена земљишта под њим. То је главна разлика у односу на станове.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Однос цене објекта и површине плаца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Пропорционални симболи: величина круга = површина плаца, боја = цена по м² објекта. Одмах се види где се плаћа кућа, а где двориште.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ару плаца, одвојено од цене по м² објекта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засебне мапе истог подручја, једна поред друге, са фиксираним класама. Слика је потпуно другачија и то је поента.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Удаљеност од центра и саобраћајна доступност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 (зоне доступности за 10/20/30 минута) од центра, комбиноване са филтером цене.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Комунална опремљеност и приступ путу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Слојеви инфраструктуре испод тачака, у пригушеној боји — контекст, а не главни мотив.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Стање објекта и година градње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тачака уз обавезну ортофото подлогу; корисник визуелно проверава оно што пише у подацима.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Неусаглашеност уписаног и стварног стања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Посебан слој који означава објекте са утврђеном разликом — не мешати са ценовним слојем.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 Пословни простори</w:t>
      </w:r>
    </w:p>
    <w:p>
      <w:pPr>
        <w:spacing w:after="160"/>
      </w:pPr>
      <w:r>
        <w:rPr>
          <w:i/>
          <w:iCs/>
          <w:color w:val="44606A"/>
        </w:rPr>
        <w:t xml:space="preserve">Једини тип код кога је закупнина често важнија од продајне цене, и једини где је улица важнија од површине.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Закупнина по м² месечно, поред продајне цене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метрике на истом приказу, преко прекидача. Однос закупнине и продајне цене даје приносну стопу — то је засебна, врло тражена мапа.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Улична фронта и приземље наспрам виших спратова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Линијски приказ улица: боја саме улице представља просечну закупнину. За градско језгро је читљивије од стотина преклопљених тачака.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Пословне зоне и њихове границе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Полигони зона као подлога, испод тачака трансакција. Одмах се види да ли зонска подела прати стварне цене или заостаје за њима.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Празни локали и колико дуго стоје празни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празних локала кроз време, са временским клизачем. Ово је најјачи показатељ здравља једне трговачке улице.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Намена: локал, канцеларија, угоститељство, ординација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са највише седам вредности; остало груписати у категорију „друго“.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Пешачка фреквенција и близина паркинга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 пешачке доступности од раскрсница и стајалишта јавног превоза.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3.4. Грађевинско земљиште</w:t>
      </w:r>
    </w:p>
    <w:p>
      <w:pPr>
        <w:spacing w:after="160"/>
      </w:pPr>
      <w:r>
        <w:rPr>
          <w:i/>
          <w:iCs/>
          <w:color w:val="44606A"/>
        </w:rPr>
        <w:t xml:space="preserve">Тип код кога планска документација одређује вредност више него сама локација. Управо ту визуализација може да покаже нешто што табела не може.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Планска намена по ПГР/ПДР и границе намена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Преклоп планске намене (полигони, пригушене боје) и остварених цена (тачке). Најјача комбинација у целом документу — показује где тржиште не верује плану.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Дозвољени индекс изграђености и спратност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Изведена метрика: цена по м² дозвољене бруто развијене површине. Ова нормализација открива стварно подцењене парцеле и ретко се негде виђа.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Комунална опремљеност (вода, канализација, струја, гас)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Слојеви опремљености као прекидачи, уз могућност да се прикаже само оно што испуњава све услове.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Приступ саобраћајници, близина петље или коридора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Градијент цене у односу на удаљеност од петље или коридора — прстенасти бафери или изохроне вожње.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м² парцеле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 за преглед, тачке или полигони парцела при већем зуму.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Правци ширења грађевинског подручја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Поређење граница грађевинског подручја кроз више временских пресека, приказом на подељеном екрану са клизачем.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3.5. Пољопривредно земљиште</w:t>
      </w:r>
    </w:p>
    <w:p>
      <w:pPr>
        <w:spacing w:after="160"/>
      </w:pPr>
      <w:r>
        <w:rPr>
          <w:i/>
          <w:iCs/>
          <w:color w:val="44606A"/>
        </w:rPr>
        <w:t xml:space="preserve">Најразличитији тип у односу на градске непокретности: велике површине, мале цене по јединици, и низ атрибута којих нигде другде нема. Овде има највише неискоришћеног потенцијала.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хектару по култури (њива, воћњак, виноград, ливада, пашњак)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КО, са обавезним раздвајањем по култури — просечна цена свих култура заједно није употребљив податак.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Катастарска класа и бонитет у односу на постигнуту цену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Бивариантна мапа: цена укрштена са бонитетом. Ћелије где је бонитет висок, а цена ниска јесу директан налаз, а не само илустрација.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Уситњеност поседа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просечне површине парцеле по КО, или броја парцела по власнику. Уситњеност је у нашим условима засебна тема и заслужује сопствени приказ.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Ефекти комасације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Подељени екран са клизачем: стање пре и после комасације на истом подручју. Изразито уверљив приказ за јавност.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Наводњавање, близина воде, плавне зоне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Слојеви хидрографије и плавних зона испод ценовног слоја; корелација се види без иједног графикона.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Притисак промене намене — грађевинско земљиште и соларне електране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Посебан слој трансакција са ценама изразито изнад локалне медијане — то су по правилу парцеле купљене због будуће намене.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Власничка структура и промет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Категоријски приказ по типу власника, уз топлотну мапу броја трансакција (не цене).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Величина парцеле у односу на цену по хектару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Растурени дијаграм повезан са мапом: означавање тачака у дијаграму осветљава одговарајуће парцеле на карти.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3.6. Шумско земљиште</w:t>
      </w:r>
    </w:p>
    <w:p>
      <w:pPr>
        <w:spacing w:after="160"/>
      </w:pPr>
      <w:r>
        <w:rPr>
          <w:i/>
          <w:iCs/>
          <w:color w:val="44606A"/>
        </w:rPr>
        <w:t xml:space="preserve">Мањи обим промета, али јасни просторни обрасци.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Врста и старост састојине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полигона преко сателитске подлоге.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Приступачност и близина шумских путева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 путне мреже испод, уз приказ удаљености до најближег пута.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Однос са заштићеним подручјима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Преклоп са границама заштићених подручја — где се промет догађа, а где је ограничен.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хектару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КО, са пригушивањем ћелија у којима је премало трансакција.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3.7. Индустријски објекти и складишта</w:t>
      </w:r>
    </w:p>
    <w:p>
      <w:pPr>
        <w:spacing w:after="160"/>
      </w:pPr>
      <w:r>
        <w:rPr>
          <w:i/>
          <w:iCs/>
          <w:color w:val="44606A"/>
        </w:rPr>
        <w:t xml:space="preserve">Вредност готово потпуно зависи од саобраћајне повезаности, што је идеално за приказ на карти.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Близина коридора, железнице и терминала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Линијски слојеви саобраћајне мреже као носећи мотив, а објекти као тачке на њима.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Површина плаца и висина хале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3Д екструзија где висина представља стварну висину хале — овде је 3Д функционалан, а не украс.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Слободне зоне и индустријске зоне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Полигони зона као подлога, уз поређење цена унутар и изван зоне.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Логистичка доступност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 вожње теретним возилом (30/60/90 минута) од објекта до коридора или границе.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3.8. Гараже, помоћни објекти и викендице</w:t>
      </w:r>
    </w:p>
    <w:p>
      <w:pPr>
        <w:spacing w:after="160"/>
      </w:pPr>
      <w:r>
        <w:rPr>
          <w:i/>
          <w:iCs/>
          <w:color w:val="44606A"/>
        </w:rPr>
        <w:t xml:space="preserve">Мали типови, али са по једним занимљивим односом који вреди приказати.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Како то визуализовати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Гараже: цена гараже у односу на цену стана у истој згради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односа, изражена у процентима. Јасан и лако разумљив показатељ притиска на паркинг у градским зонама.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Помоћни објекти: удео у укупној вредности имања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преко ортофота, где се види однос површина под објектима и слободног земљишта.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Викендице: планинске, бањске и језерске зоне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Издвојене туристичке зоне са сопственом палетом; поређење са општинским просеком.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Сезоналност промета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по месецима — мали вишеструки прикази или временски клизач.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Каталог начина визуализације</w:t>
      </w:r>
    </w:p>
    <w:p>
      <w:pPr>
        <w:spacing w:after="140"/>
      </w:pPr>
      <w:r>
        <w:t xml:space="preserve">Кратак преглед техника поменутих у документу, са напоменом када их не треба користити.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Техника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Намена и ограничење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Тачке и груписање (кластери)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Основни приказ појединачних непокретности. Груписане тачке треба да носе и вредност (боја = медијана цене), не само број.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Ценовне ознаке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Уместо тачке се приказује сам износ. Ради само при великом зуму, до неколико десетина видљивих ознака.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Хексагонална мрежа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Најбољи начин за ценовну површину. Ћелије су једнаке површине, за разлику од КО.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 или општини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Најразумљивији приказ за јавност. Обавезно нормализована вредност и обавезно сузбијање ћелија са премало података.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Топлотна мапа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 за густину, односно за број трансакција. Никада за цену — то је најчешћа и најозбиљнија грешка на оваквим приказима.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3Д екструзија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спратност, висину хале, дозвољену изградњу. Никада као једини приказ, јер виши објекти заклањају ниже.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Бивариантна мапа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податка истовремено (цена и бонитет, цена и старост). Захтева добро објашњену легенду.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промене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разлике између два периода, дивергентном палетом око нуле. По правилу најинформативнији појединачни приказ.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Пропорционални симболи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Величина носи количину. Скалирати по површини круга, не по полупречнику.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Зоне доступности у минутима. Најкорисније као филтер, а не само као слој.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Линијски (улични) приказ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пословне локале и саобраћајну повезаност.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Подељени екран са клизачем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Поређење два стања истог подручја — пре и после комасације, две године, план и стварност.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Мали вишеструки прикази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Више малих карата у низу, са истом легендом. Најбољи начин за приказ промене кроз време.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Повезани панели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Карта, хистограм и табела који се међусобно филтрирају. Ту се налази највећи део аналитичке вредности.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Идеје за рад корисника са приказом</w:t>
      </w:r>
    </w:p>
    <w:p>
      <w:pPr>
        <w:pStyle w:val="ListParagraph"/>
        <w:numPr>
          <w:ilvl w:val="0"/>
          <w:numId w:val="2"/>
        </w:numPr>
      </w:pPr>
      <w:r>
        <w:t xml:space="preserve">Исцртавање сопствене зоне на карти и добијање статистике само за њу — најтраженија функција на оваквим приказима.</w:t>
      </w:r>
    </w:p>
    <w:p>
      <w:pPr>
        <w:pStyle w:val="ListParagraph"/>
        <w:numPr>
          <w:ilvl w:val="0"/>
          <w:numId w:val="2"/>
        </w:numPr>
      </w:pPr>
      <w:r>
        <w:t xml:space="preserve">Клик на парцелу или објекат отвара картон са свим атрибутима; карта остаје видљива.</w:t>
      </w:r>
    </w:p>
    <w:p>
      <w:pPr>
        <w:pStyle w:val="ListParagraph"/>
        <w:numPr>
          <w:ilvl w:val="0"/>
          <w:numId w:val="2"/>
        </w:numPr>
      </w:pPr>
      <w:r>
        <w:t xml:space="preserve">Филтери приказани као уклоњиве ознаке, тако да корисник у сваком тренутку види шта је укључено.</w:t>
      </w:r>
    </w:p>
    <w:p>
      <w:pPr>
        <w:pStyle w:val="ListParagraph"/>
        <w:numPr>
          <w:ilvl w:val="0"/>
          <w:numId w:val="2"/>
        </w:numPr>
      </w:pPr>
      <w:r>
        <w:t xml:space="preserve">Временски клизач за преглед стања по годинама, уз фиксиране класе да би поређење било могуће.</w:t>
      </w:r>
    </w:p>
    <w:p>
      <w:pPr>
        <w:pStyle w:val="ListParagraph"/>
        <w:numPr>
          <w:ilvl w:val="0"/>
          <w:numId w:val="2"/>
        </w:numPr>
      </w:pPr>
      <w:r>
        <w:t xml:space="preserve">Дељива адреса приказа: положај карте, зум и сви филтери уписани у линк.</w:t>
      </w:r>
    </w:p>
    <w:p>
      <w:pPr>
        <w:pStyle w:val="ListParagraph"/>
        <w:numPr>
          <w:ilvl w:val="0"/>
          <w:numId w:val="2"/>
        </w:numPr>
      </w:pPr>
      <w:r>
        <w:t xml:space="preserve">Поређење две зоне једне поред друге, са истим мерилом и истом легендом.</w:t>
      </w:r>
    </w:p>
    <w:p>
      <w:pPr>
        <w:pStyle w:val="ListParagraph"/>
        <w:numPr>
          <w:ilvl w:val="0"/>
          <w:numId w:val="2"/>
        </w:numPr>
      </w:pPr>
      <w:r>
        <w:t xml:space="preserve">Преузимање изабраног скупа у табеларном облику — карта која не даје податке губи стручну публику.</w:t>
      </w:r>
    </w:p>
    <w:p>
      <w:pPr>
        <w:pStyle w:val="ListParagraph"/>
        <w:numPr>
          <w:ilvl w:val="0"/>
          <w:numId w:val="2"/>
        </w:numPr>
      </w:pPr>
      <w:r>
        <w:t xml:space="preserve">Прекидач за ортофото подлогу; за земљиште је то готово обавезно.</w:t>
      </w:r>
    </w:p>
    <w:p>
      <w:pPr>
        <w:pStyle w:val="ListParagraph"/>
        <w:numPr>
          <w:ilvl w:val="0"/>
          <w:numId w:val="2"/>
        </w:numPr>
      </w:pPr>
      <w:r>
        <w:t xml:space="preserve">Приказ броја трансакција на основу којих је вредност израчуната, уз сваку приказану вредност.</w:t>
      </w:r>
    </w:p>
    <w:p>
      <w:pPr>
        <w:spacing w:after="120"/>
      </w:pPr>
    </w:p>
    <w:p>
      <w:pPr>
        <w:pStyle w:val="Heading1"/>
      </w:pPr>
      <w:r>
        <w:t xml:space="preserve">6. Предлог редоследа</w:t>
      </w:r>
    </w:p>
    <w:p>
      <w:pPr>
        <w:pStyle w:val="Heading3"/>
      </w:pPr>
      <w:r>
        <w:t xml:space="preserve">Прва фаза — брзо, са видљивим ефектом</w:t>
      </w:r>
    </w:p>
    <w:p>
      <w:pPr>
        <w:pStyle w:val="ListParagraph"/>
        <w:numPr>
          <w:ilvl w:val="0"/>
          <w:numId w:val="2"/>
        </w:numPr>
      </w:pPr>
      <w:r>
        <w:t xml:space="preserve">Хороплет по КО за станове и за пољопривредно земљиште, са медијаном нормализоване цене и приказом броја трансакција.</w:t>
      </w:r>
    </w:p>
    <w:p>
      <w:pPr>
        <w:pStyle w:val="ListParagraph"/>
        <w:numPr>
          <w:ilvl w:val="0"/>
          <w:numId w:val="2"/>
        </w:numPr>
      </w:pPr>
      <w:r>
        <w:t xml:space="preserve">Клик на парцелу са приказом атрибута.</w:t>
      </w:r>
    </w:p>
    <w:p>
      <w:pPr>
        <w:pStyle w:val="ListParagraph"/>
        <w:numPr>
          <w:ilvl w:val="0"/>
          <w:numId w:val="2"/>
        </w:numPr>
      </w:pPr>
      <w:r>
        <w:t xml:space="preserve">Ортофото подлога и прекидач слојева.</w:t>
      </w:r>
    </w:p>
    <w:p>
      <w:pPr>
        <w:pStyle w:val="Heading3"/>
      </w:pPr>
      <w:r>
        <w:t xml:space="preserve">Друга фаза — аналитичка вредност</w:t>
      </w:r>
    </w:p>
    <w:p>
      <w:pPr>
        <w:pStyle w:val="ListParagraph"/>
        <w:numPr>
          <w:ilvl w:val="0"/>
          <w:numId w:val="2"/>
        </w:numPr>
      </w:pPr>
      <w:r>
        <w:t xml:space="preserve">Хексагонална мрежа за градска подручја.</w:t>
      </w:r>
    </w:p>
    <w:p>
      <w:pPr>
        <w:pStyle w:val="ListParagraph"/>
        <w:numPr>
          <w:ilvl w:val="0"/>
          <w:numId w:val="2"/>
        </w:numPr>
      </w:pPr>
      <w:r>
        <w:t xml:space="preserve">Временска компонента: мапа промене и клизач по годинама.</w:t>
      </w:r>
    </w:p>
    <w:p>
      <w:pPr>
        <w:pStyle w:val="ListParagraph"/>
        <w:numPr>
          <w:ilvl w:val="0"/>
          <w:numId w:val="2"/>
        </w:numPr>
      </w:pPr>
      <w:r>
        <w:t xml:space="preserve">Повезани панели: карта, хистограм и табела.</w:t>
      </w:r>
    </w:p>
    <w:p>
      <w:pPr>
        <w:pStyle w:val="Heading3"/>
      </w:pPr>
      <w:r>
        <w:t xml:space="preserve">Трећа фаза — оно што издваја приказ</w:t>
      </w:r>
    </w:p>
    <w:p>
      <w:pPr>
        <w:pStyle w:val="ListParagraph"/>
        <w:numPr>
          <w:ilvl w:val="0"/>
          <w:numId w:val="2"/>
        </w:numPr>
      </w:pPr>
      <w:r>
        <w:t xml:space="preserve">Преклоп планске намене и остварених цена за грађевинско земљиште.</w:t>
      </w:r>
    </w:p>
    <w:p>
      <w:pPr>
        <w:pStyle w:val="ListParagraph"/>
        <w:numPr>
          <w:ilvl w:val="0"/>
          <w:numId w:val="2"/>
        </w:numPr>
      </w:pPr>
      <w:r>
        <w:t xml:space="preserve">Бивариантна мапа цене и бонитета за пољопривредно земљиште.</w:t>
      </w:r>
    </w:p>
    <w:p>
      <w:pPr>
        <w:pStyle w:val="ListParagraph"/>
        <w:numPr>
          <w:ilvl w:val="0"/>
          <w:numId w:val="2"/>
        </w:numPr>
      </w:pPr>
      <w:r>
        <w:t xml:space="preserve">3Д приказ за градско језгро и изохроне као филтер.</w:t>
      </w:r>
    </w:p>
    <w:p>
      <w:pPr>
        <w:pStyle w:val="ListParagraph"/>
        <w:numPr>
          <w:ilvl w:val="0"/>
          <w:numId w:val="2"/>
        </w:numPr>
      </w:pPr>
      <w:r>
        <w:t xml:space="preserve">Подељени екран за поређење стања пре и после комасације.</w:t>
      </w:r>
    </w:p>
    <w:p>
      <w:pPr>
        <w:spacing w:after="120"/>
      </w:pPr>
    </w:p>
    <w:p>
      <w:pPr>
        <w:pStyle w:val="Heading1"/>
      </w:pPr>
      <w:r>
        <w:t xml:space="preserve">7. На шта посебно обратити пажњу</w:t>
      </w:r>
    </w:p>
    <w:p>
      <w:pPr>
        <w:pStyle w:val="ListParagraph"/>
        <w:numPr>
          <w:ilvl w:val="0"/>
          <w:numId w:val="2"/>
        </w:numPr>
      </w:pPr>
      <w:r>
        <w:t xml:space="preserve">Цена мора бити нормализована. Мапа апсолутних цена је у пракси мапа површина.</w:t>
      </w:r>
    </w:p>
    <w:p>
      <w:pPr>
        <w:pStyle w:val="ListParagraph"/>
        <w:numPr>
          <w:ilvl w:val="0"/>
          <w:numId w:val="2"/>
        </w:numPr>
      </w:pPr>
      <w:r>
        <w:t xml:space="preserve">Мали узорак. Медијана из две трансакције није податак. Ћелије испод одређеног броја сузбити и то јасно означити у легенди.</w:t>
      </w:r>
    </w:p>
    <w:p>
      <w:pPr>
        <w:pStyle w:val="ListParagraph"/>
        <w:numPr>
          <w:ilvl w:val="0"/>
          <w:numId w:val="2"/>
        </w:numPr>
      </w:pPr>
      <w:r>
        <w:t xml:space="preserve">Топлотна мапа не сме приказивати цену, само густину.</w:t>
      </w:r>
    </w:p>
    <w:p>
      <w:pPr>
        <w:pStyle w:val="ListParagraph"/>
        <w:numPr>
          <w:ilvl w:val="0"/>
          <w:numId w:val="2"/>
        </w:numPr>
      </w:pPr>
      <w:r>
        <w:t xml:space="preserve">Прецизне и приближне координате не смеју изгледати исто. Ако је тачка добијена из центроида насеља, то мора бити видљиво.</w:t>
      </w:r>
    </w:p>
    <w:p>
      <w:pPr>
        <w:pStyle w:val="ListParagraph"/>
        <w:numPr>
          <w:ilvl w:val="0"/>
          <w:numId w:val="2"/>
        </w:numPr>
      </w:pPr>
      <w:r>
        <w:t xml:space="preserve">Тражена и уговорена цена су два различита податка и не смеју се мешати на истом приказу.</w:t>
      </w:r>
    </w:p>
    <w:p>
      <w:pPr>
        <w:pStyle w:val="ListParagraph"/>
        <w:numPr>
          <w:ilvl w:val="0"/>
          <w:numId w:val="2"/>
        </w:numPr>
      </w:pPr>
      <w:r>
        <w:t xml:space="preserve">Класе се фиксирају када се пореди кроз време или између приказа; иначе поређење губи смисао.</w:t>
      </w:r>
    </w:p>
    <w:p>
      <w:pPr>
        <w:pStyle w:val="ListParagraph"/>
        <w:numPr>
          <w:ilvl w:val="0"/>
          <w:numId w:val="2"/>
        </w:numPr>
      </w:pPr>
      <w:r>
        <w:t xml:space="preserve">Заштита података о личности: појединачне трансакције приказивати тако да се не могу повезати са конкретним лицима.</w:t>
      </w:r>
    </w:p>
    <w:p>
      <w:pPr>
        <w:pStyle w:val="ListParagraph"/>
        <w:numPr>
          <w:ilvl w:val="0"/>
          <w:numId w:val="2"/>
        </w:numPr>
      </w:pPr>
      <w:r>
        <w:t xml:space="preserve">Различити координатни системи у улазним подацима. Трансформација се ради једном, у припреми података, а не у приказу.</w:t>
      </w:r>
    </w:p>
    <w:p>
      <w:pPr>
        <w:pStyle w:val="ListParagraph"/>
        <w:numPr>
          <w:ilvl w:val="0"/>
          <w:numId w:val="2"/>
        </w:numPr>
      </w:pPr>
      <w:r>
        <w:t xml:space="preserve">Границе КО и општина се мењају — уз сваки слој водити податак о датуму важења.</w:t>
      </w:r>
    </w:p>
    <w:p>
      <w:pPr>
        <w:spacing w:after="120"/>
      </w:pPr>
    </w:p>
    <w:p>
      <w:pPr>
        <w:pStyle w:val="Heading1"/>
      </w:pPr>
      <w:r>
        <w:t xml:space="preserve">8. Могући извори података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Извор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Шта даје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Регистар цена непокретности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Остварене цене из уговора — основни слој за све ценовне приказе.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Дигитални катастарски план и еКатастар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Полигони парцела, култура, класа, површина, објекти.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Адресни регистар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Повезивање адресе са координатом за податке који немају број парцеле.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ГеоСрбија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Ортофото, границе, тематски слојеви, сервиси за преузимање.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Планска документација (ПГР и ПДР)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Планска намена и параметри изградње за грађевинско земљиште.</w:t>
            </w:r>
          </w:p>
        </w:tc>
      </w:tr>
      <w:t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Републички завод за статистику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Попис, домаћинства, станови — за нормализацију по броју становника или домаћинстава.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Путна мрежа, објекти од интереса, подлога. Проверити услове коришћења.</w:t>
            </w:r>
          </w:p>
        </w:tc>
      </w:tr>
    </w:tbl>
    <w:p>
      <w:pPr>
        <w:spacing w:after="120"/>
      </w:pPr>
    </w:p>
    <w:p>
      <w:pPr>
        <w:pBdr>
          <w:top w:val="single" w:color="C6D6DA" w:sz="6" w:space="8"/>
        </w:pBdr>
        <w:spacing w:before="300"/>
      </w:pPr>
      <w:r>
        <w:rPr>
          <w:i/>
          <w:iCs/>
          <w:color w:val="6B7F86"/>
          <w:sz w:val="18"/>
          <w:szCs w:val="18"/>
        </w:rPr>
        <w:t xml:space="preserve">Напомена: документ садржи само идеје за приказ. Технички део — начин припреме података, координатни системи, агрегација и начин објављивања — обрађује се засебно.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AAAB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A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mbria" w:cs="Cambria" w:eastAsia="Cambria" w:hAnsi="Cambria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320"/>
    </w:pPr>
    <w:rPr>
      <w:rFonts w:ascii="Cambria" w:cs="Cambria" w:eastAsia="Cambria" w:hAnsi="Cambria"/>
      <w:b/>
      <w:bCs/>
      <w:color w:val="3C7A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20"/>
    </w:pPr>
    <w:rPr>
      <w:rFonts w:ascii="Cambria" w:cs="Cambria" w:eastAsia="Cambria" w:hAnsi="Cambria"/>
      <w:b/>
      <w:bCs/>
      <w:color w:val="3C7A8C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Идеје за визуализацију геопросторних података о непокретностима</dc:title>
  <dc:creator>РГЗ</dc:creator>
  <dc:description>Радни материјал — преглед идеја по типовима непокретности</dc:description>
  <cp:lastModifiedBy>Un-named</cp:lastModifiedBy>
  <cp:revision>1</cp:revision>
  <dcterms:created xsi:type="dcterms:W3CDTF">2026-08-25T10:52:31.589Z</dcterms:created>
  <dcterms:modified xsi:type="dcterms:W3CDTF">2026-08-25T10:52:31.594Z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