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5"/>
        <w:keepLines w:val="0"/>
      </w:pPr>
      <w:r>
        <w:t>Table 5.6.3-1: Fundamental feature set for IN Profile</w:t>
      </w:r>
    </w:p>
    <w:tbl>
      <w:tblPr>
        <w:tblStyle w:val="TableNormal"/>
        <w:name w:val="표9"/>
        <w:tabOrder w:val="0"/>
        <w:jc w:val="center"/>
        <w:tblInd w:w="0" w:type="dxa"/>
        <w:tblW w:w="9775" w:type="dxa"/>
        <w:tblLook w:val="0600" w:firstRow="0" w:lastRow="0" w:firstColumn="0" w:lastColumn="0" w:noHBand="1" w:noVBand="1"/>
      </w:tblPr>
      <w:tblGrid>
        <w:gridCol w:w="897"/>
        <w:gridCol w:w="1429"/>
        <w:gridCol w:w="1967"/>
        <w:gridCol w:w="5482"/>
      </w:tblGrid>
      <w:tr>
        <w:trPr>
          <w:tblHeader w:val="0"/>
          <w:cantSplit w:val="0"/>
          <w:trHeight w:val="217" w:hRule="atLeast"/>
        </w:trPr>
        <w:tc>
          <w:tcPr>
            <w:tcW w:w="897" w:type="dxa"/>
            <w:vAlign w:val="center"/>
            <w:shd w:val="solid" w:color="E0E0E0" tmshd="1677721856, 0, 14737632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/>
              <w:jc w:val="center"/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b/>
                <w:sz w:val="18"/>
                <w:lang w:val="en-gb" w:eastAsia="en-us"/>
              </w:rPr>
            </w:pPr>
            <w:r>
              <w:rPr>
                <w:rFonts w:ascii="Arial" w:hAnsi="Arial" w:eastAsia="Arial Unicode MS" w:cs="Arial"/>
                <w:b/>
                <w:sz w:val="18"/>
                <w:lang w:val="en-gb" w:eastAsia="en-us"/>
              </w:rPr>
              <w:t>Function</w:t>
            </w:r>
          </w:p>
        </w:tc>
        <w:tc>
          <w:tcPr>
            <w:tcW w:w="1429" w:type="dxa"/>
            <w:vAlign w:val="center"/>
            <w:shd w:val="solid" w:color="E0E0E0" tmshd="1677721856, 0, 14737632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/>
              <w:jc w:val="center"/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b/>
                <w:sz w:val="18"/>
                <w:lang w:val="en-gb" w:eastAsia="en-us"/>
              </w:rPr>
            </w:pPr>
            <w:r>
              <w:rPr>
                <w:rFonts w:ascii="Arial" w:hAnsi="Arial" w:eastAsia="Arial Unicode MS" w:cs="Arial"/>
                <w:b/>
                <w:sz w:val="18"/>
                <w:lang w:val="en-gb" w:eastAsia="en-us"/>
              </w:rPr>
              <w:t>Feature Set</w:t>
            </w:r>
          </w:p>
        </w:tc>
        <w:tc>
          <w:tcPr>
            <w:tcW w:w="1967" w:type="dxa"/>
            <w:shd w:val="solid" w:color="E0E0E0" tmshd="1677721856, 0, 14737632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/>
              <w:jc w:val="center"/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b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b/>
                <w:sz w:val="18"/>
                <w:lang w:val="en-gb" w:eastAsia="zh-cn"/>
              </w:rPr>
              <w:t>Feature</w:t>
            </w:r>
            <w:r>
              <w:rPr>
                <w:rFonts w:ascii="Arial" w:hAnsi="Arial" w:eastAsia="Arial Unicode MS" w:cs="Arial" w:hint="eastAsia"/>
                <w:b/>
                <w:sz w:val="18"/>
                <w:lang w:val="en-gb" w:eastAsia="zh-cn"/>
              </w:rPr>
            </w:r>
          </w:p>
        </w:tc>
        <w:tc>
          <w:tcPr>
            <w:tcW w:w="5482" w:type="dxa"/>
            <w:shd w:val="solid" w:color="E0E0E0" tmshd="1677721856, 0, 14737632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/>
              <w:jc w:val="center"/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b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b/>
                <w:sz w:val="18"/>
                <w:lang w:val="en-gb" w:eastAsia="zh-cn"/>
              </w:rPr>
              <w:t>Re</w:t>
            </w:r>
            <w:r>
              <w:rPr>
                <w:rFonts w:ascii="Arial" w:hAnsi="Arial" w:eastAsia="Arial Unicode MS" w:cs="Arial"/>
                <w:b/>
                <w:sz w:val="18"/>
                <w:lang w:val="en-gb" w:eastAsia="zh-cn"/>
              </w:rPr>
              <w:t>mark</w:t>
            </w:r>
            <w:r>
              <w:rPr>
                <w:rFonts w:ascii="Arial" w:hAnsi="Arial" w:eastAsia="Arial Unicode MS" w:cs="Arial" w:hint="eastAsia"/>
                <w:b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GEN</w:t>
            </w:r>
          </w:p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zh-cn"/>
              </w:rPr>
              <w:t>CE/GEN/00001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en-us"/>
              </w:rPr>
              <w:t>CE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en-us"/>
              </w:rPr>
              <w:t>GEN/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en-us"/>
              </w:rPr>
              <w:t>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zh-cn"/>
              </w:rPr>
              <w:t>1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lang w:val="es-es" w:eastAsia="en-us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lang w:val="en-gb" w:eastAsia="en-us"/>
              </w:rPr>
              <w:t xml:space="preserve">Support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lang w:val="en-gb" w:eastAsia="zh-cn"/>
              </w:rPr>
              <w:t>Unstructured resource identifier</w:t>
            </w:r>
            <w:r>
              <w:rPr>
                <w:rFonts w:ascii="Arial" w:hAnsi="Arial" w:eastAsia="Arial Unicode MS" w:cs="Arial"/>
                <w:strike w:val="1"/>
                <w:sz w:val="18"/>
                <w:lang w:val="es-es" w:eastAsia="en-us"/>
              </w:rPr>
            </w:r>
          </w:p>
        </w:tc>
      </w:tr>
      <w:tr>
        <w:trPr>
          <w:tblHeader w:val="0"/>
          <w:cantSplit w:val="0"/>
          <w:trHeight w:val="232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CE/GEN/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  <w:t>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/00002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lang w:val="es-es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color w:val="ff0000"/>
                <w:sz w:val="18"/>
                <w:lang w:val="en-gb" w:eastAsia="zh-cn"/>
              </w:rPr>
              <w:t>S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  <w:t>tructured resource identifier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lang w:val="es-es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CE/GEN/00002</w:t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E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GEN/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  <w:t>002/00001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  <w:t>Support blocking request</w:t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lang w:val="en-gb" w:eastAsia="zh-cn"/>
              </w:rPr>
              <w:t>E/GEN/0000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lang w:val="en-gb" w:eastAsia="zh-cn"/>
              </w:rPr>
              <w:t>/00002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b/>
                <w:i/>
                <w:color w:val="ff0000"/>
                <w:sz w:val="18"/>
                <w:lang w:val="en-gb" w:eastAsia="zh-cn"/>
              </w:rPr>
              <w:t>Result Content</w:t>
            </w:r>
            <w:r>
              <w:rPr>
                <w:rFonts w:ascii="Arial" w:hAnsi="Arial" w:eastAsia="Arial Unicode MS" w:cs="Arial"/>
                <w:color w:val="ff0000"/>
                <w:sz w:val="18"/>
                <w:lang w:val="en-gb" w:eastAsia="zh-cn"/>
              </w:rPr>
              <w:t xml:space="preserve"> values of “attributes”, “hierarchical address”, “hierarchical address and attributes”, “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  <w:t>nothing</w:t>
            </w:r>
            <w:r>
              <w:rPr>
                <w:rFonts w:ascii="Arial" w:hAnsi="Arial" w:eastAsia="Arial Unicode MS" w:cs="Arial"/>
                <w:color w:val="ff0000"/>
                <w:sz w:val="18"/>
                <w:lang w:val="en-gb" w:eastAsia="zh-cn"/>
              </w:rPr>
              <w:t>”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E/GEN/0000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/0001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6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color w:val="0000ff"/>
                <w:sz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b/>
                <w:i/>
                <w:strike w:val="1"/>
                <w:color w:val="0000ff"/>
                <w:sz w:val="18"/>
                <w:lang w:val="en-gb" w:eastAsia="zh-cn"/>
              </w:rPr>
              <w:t>Result Content</w:t>
            </w:r>
            <w:r>
              <w:rPr>
                <w:rFonts w:ascii="Arial" w:hAnsi="Arial" w:eastAsia="Arial Unicode MS" w:cs="Arial"/>
                <w:strike w:val="1"/>
                <w:color w:val="0000ff"/>
                <w:sz w:val="18"/>
                <w:lang w:val="en-gb" w:eastAsia="zh-cn"/>
              </w:rPr>
              <w:t xml:space="preserve"> values of “modified attributes”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E/GEN/0000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4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eastAsia="Arial Unicode MS"/>
                <w:strike w:val="1"/>
                <w:color w:val="0000ff"/>
                <w:lang w:val="en-gb" w:eastAsia="zh-cn"/>
              </w:rPr>
              <w:t>Support non-blocking synchronous request handling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E/GEN/0000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/00005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eastAsia="Arial Unicode MS"/>
                <w:strike w:val="1"/>
                <w:color w:val="0000ff"/>
                <w:lang w:val="en-gb" w:eastAsia="zh-cn"/>
              </w:rPr>
              <w:t>Support non-blocking asynchronous request handling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01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C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E/GEN/0000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lang w:val="en-gb" w:eastAsia="zh-cn"/>
              </w:rPr>
              <w:t>/00006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pPr>
            <w:r>
              <w:rPr>
                <w:rFonts w:eastAsia="Arial Unicode MS"/>
                <w:strike w:val="1"/>
                <w:color w:val="0000ff"/>
                <w:lang w:val="en-gb" w:eastAsia="zh-cn"/>
              </w:rPr>
              <w:t>Support for transit CSE forwarding of requests and responses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17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REG</w:t>
            </w:r>
          </w:p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001/00001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 xml:space="preserve">&lt;CSEBase&gt;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en-us"/>
              </w:rPr>
              <w:t>resource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.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217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color w:val="000000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001/0000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/>
                <w:i/>
                <w:strike w:val="1"/>
                <w:color w:val="000000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en-us"/>
              </w:rPr>
              <w:t>Support the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cseType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  <w:t xml:space="preserve"> attribute</w:t>
            </w:r>
            <w:r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zh-cn"/>
              </w:rPr>
              <w:t xml:space="preserve"> of &lt;CSEBase&gt; </w:t>
            </w:r>
            <w:r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en-us"/>
              </w:rPr>
            </w:r>
          </w:p>
        </w:tc>
      </w:tr>
      <w:tr>
        <w:trPr>
          <w:tblHeader w:val="0"/>
          <w:cantSplit w:val="0"/>
          <w:trHeight w:val="232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trike w:val="1"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001/0000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3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Support the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nodeLink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attribute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 of &lt;CSEBase&gt;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</w:r>
          </w:p>
        </w:tc>
      </w:tr>
      <w:tr>
        <w:trPr>
          <w:tblHeader w:val="0"/>
          <w:cantSplit w:val="0"/>
          <w:trHeight w:val="217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CE/REG/00002</w:t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002/00001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&lt;AE&gt;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en-us"/>
              </w:rPr>
              <w:t xml:space="preserve"> resource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732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CE/REG/00002/00002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AE registration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/de-registration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without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a pre-assigned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AE-ID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 xml:space="preserve"> in the registration request and where the AE-ID Stem is configured with ‘C’.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653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  <w:t>CE/REG/00002/00003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trike w:val="1"/>
                <w:color w:val="0000ff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>AE registration</w:t>
            </w:r>
            <w:r>
              <w:rPr>
                <w:rFonts w:ascii="Arial" w:hAnsi="Arial" w:eastAsia="Arial Unicode MS" w:cs="Arial"/>
                <w:strike w:val="1"/>
                <w:color w:val="0000ff"/>
                <w:sz w:val="18"/>
                <w:szCs w:val="18"/>
                <w:lang w:val="en-gb" w:eastAsia="zh-cn"/>
              </w:rPr>
              <w:t>/de-registration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 without </w:t>
            </w:r>
            <w:r>
              <w:rPr>
                <w:rFonts w:ascii="Arial" w:hAnsi="Arial" w:eastAsia="Arial Unicode MS" w:cs="Arial"/>
                <w:strike w:val="1"/>
                <w:color w:val="0000ff"/>
                <w:sz w:val="18"/>
                <w:szCs w:val="18"/>
                <w:lang w:val="en-gb" w:eastAsia="zh-cn"/>
              </w:rPr>
              <w:t>a pre-assigned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 AE-ID</w:t>
            </w:r>
            <w:r>
              <w:rPr>
                <w:rFonts w:ascii="Arial" w:hAnsi="Arial" w:eastAsia="Arial Unicode MS" w:cs="Arial"/>
                <w:strike w:val="1"/>
                <w:color w:val="0000ff"/>
                <w:sz w:val="18"/>
                <w:szCs w:val="18"/>
                <w:lang w:val="en-gb" w:eastAsia="zh-cn"/>
              </w:rPr>
              <w:t xml:space="preserve"> in the registration request and where the AE-ID Stem is configured with ‘S’.</w:t>
            </w:r>
            <w:r>
              <w:rPr>
                <w:strike w:val="1"/>
                <w:color w:val="0000ff"/>
                <w:lang w:val="en-gb" w:eastAsia="en-us"/>
              </w:rPr>
            </w:r>
          </w:p>
        </w:tc>
      </w:tr>
      <w:tr>
        <w:trPr>
          <w:tblHeader w:val="0"/>
          <w:cantSplit w:val="0"/>
          <w:trHeight w:val="652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CE/REG/00002/00004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ff0000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AE registration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/de-registration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without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a pre-assigned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AE-ID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 xml:space="preserve"> in the registration request and where no AE-ID Stem is included.</w:t>
            </w:r>
            <w:r>
              <w:rPr>
                <w:color w:val="ff0000"/>
                <w:lang w:val="en-gb" w:eastAsia="en-us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002/0000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>7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 xml:space="preserve">applicationName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&lt;AE&gt;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resource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02/0000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>8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 xml:space="preserve">pointOfAccess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attribute of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>&lt;AE&gt;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 xml:space="preserve"> resource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37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  <w:t>CE/REG/00002/0000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szCs w:val="18"/>
                <w:lang w:val="en-gb" w:eastAsia="zh-cn"/>
              </w:rPr>
              <w:t>9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/>
              </w:rPr>
              <w:t>AE registration with pre-assigned AE-ID</w:t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CE/REG/0000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CE/REG/0000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>&lt;remoteCSE&gt;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 with attributes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multiplicity equals 1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[1]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CE/REG/0000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2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 xml:space="preserve">cseType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&lt;remoteCSE&gt;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resource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CE/REG/0000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3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 xml:space="preserve">pointOfAccess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attribute of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&lt;remoteCSE&gt;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resource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CE/REG/0000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 xml:space="preserve">nodeLink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 xml:space="preserve">&lt;remoteCSE&gt;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resource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DMR</w:t>
            </w:r>
          </w:p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DMR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DMR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 xml:space="preserve">&lt;container&gt;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resource with attributes multiplicity equals 1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[1]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CE/DMR/00002/00001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creator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>attribute of &lt;container&gt; resource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DMR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the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zh-cn"/>
              </w:rPr>
              <w:t>maxNrOfInstances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attribute of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&lt;container&gt;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DMR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zh-cn"/>
              </w:rPr>
              <w:t>3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the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zh-cn"/>
              </w:rPr>
              <w:t>maxByteSize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&lt;container&gt;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DMR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001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0000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the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zh-cn"/>
              </w:rPr>
              <w:t>maxInstanceAge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>&lt;container&gt;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CE/DMR/00002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CE/DMR/00002/00001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color w:val="ff0000"/>
                <w:sz w:val="18"/>
                <w:szCs w:val="18"/>
                <w:lang w:val="es-es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&lt;contentInstance&gt;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en-us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 xml:space="preserve"> with attribute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s multiplicity equals 1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[1]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s-es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CE/DMR/00002/00001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 w:after="180"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  <w:t xml:space="preserve">creator 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en-us"/>
              </w:rPr>
              <w:t xml:space="preserve">&lt;contentInstance&gt; 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>resource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CE/DMR/00002/0000</w:t>
            </w:r>
            <w:r>
              <w:rPr>
                <w:rFonts w:ascii="Arial" w:hAnsi="Arial" w:eastAsia="Arial Unicode MS" w:cs="Arial"/>
                <w:i/>
                <w:strike w:val="1"/>
                <w:color w:val="000000"/>
                <w:sz w:val="18"/>
                <w:szCs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zh-cn"/>
              </w:rPr>
              <w:t xml:space="preserve">contentInfo 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  <w:t xml:space="preserve">attribute of 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en-us"/>
              </w:rPr>
              <w:t xml:space="preserve">&lt;contentInstance&gt; 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  <w:t xml:space="preserve">resource 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CE/DMR/00002/0000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zh-cn"/>
              </w:rPr>
              <w:t>4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R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 xml:space="preserve">etrieve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and Delete of latest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&lt;contentInstance&gt;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en-us"/>
              </w:rPr>
              <w:t xml:space="preserve"> resource by &lt;latest&gt; virtual resource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CE/DMR/00002/000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5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7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Retrieve and Delete of oldest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&lt;contentInstance&gt;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en-us"/>
              </w:rPr>
              <w:t xml:space="preserve"> resource by &lt;oldest&gt; virtual resource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 xml:space="preserve">CE/DMR/00003 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CE/DMR/00003/00001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>Support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zh-cn"/>
              </w:rPr>
              <w:t xml:space="preserve">CRUD of 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>&lt;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>flexcontainer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en-us"/>
              </w:rPr>
              <w:t>&gt;</w:t>
            </w:r>
            <w:r>
              <w:rPr>
                <w:rFonts w:ascii="Arial" w:hAnsi="Arial" w:eastAsia="Arial Unicode MS" w:cs="Arial"/>
                <w:strike w:val="1"/>
                <w:sz w:val="18"/>
                <w:szCs w:val="18"/>
                <w:lang w:val="en-gb" w:eastAsia="en-us"/>
              </w:rPr>
              <w:t xml:space="preserve"> resource</w:t>
            </w:r>
            <w:r>
              <w:rPr>
                <w:rFonts w:ascii="Arial" w:hAnsi="Arial" w:eastAsia="Arial Unicode MS" w:cs="Arial" w:hint="eastAsia"/>
                <w:strike w:val="1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SUB</w:t>
            </w:r>
          </w:p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CE/SUB/00001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CE/SUB/00001/00001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The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Support of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&lt;s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>ubs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 xml:space="preserve">cription&gt;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resource 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en-us"/>
              </w:rPr>
              <w:t>with attributes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multiplicity equals 1[1]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CE/SUB/00001/00001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spacing w:after="180"/>
              <w:jc w:val="center"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zh-cn"/>
              </w:rPr>
              <w:t>creator</w:t>
            </w: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 xml:space="preserve"> attribute of &lt;subscription&gt; resource</w:t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CE/SUB/00001/00001</w:t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Support the 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subscriberURI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attribute of &lt;subscription&gt; resource</w:t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CE/SUB/0000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4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CE/SUB/0000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4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Notify the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address indicated in 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notificationURI</w:t>
            </w:r>
            <w:r>
              <w:rPr>
                <w:rFonts w:ascii="Arial" w:hAnsi="Arial" w:eastAsia="Arial Unicode MS" w:cs="Arial" w:hint="eastAsia"/>
                <w:color w:val="ff0000"/>
                <w:sz w:val="18"/>
                <w:szCs w:val="18"/>
                <w:lang w:val="en-gb" w:eastAsia="zh-cn"/>
              </w:rPr>
              <w:t xml:space="preserve"> with </w:t>
            </w:r>
            <w:r>
              <w:rPr>
                <w:rFonts w:ascii="Arial" w:hAnsi="Arial" w:eastAsia="Arial Unicode MS" w:cs="Arial"/>
                <w:color w:val="ff0000"/>
                <w:sz w:val="18"/>
                <w:szCs w:val="18"/>
                <w:lang w:val="en-gb" w:eastAsia="zh-cn"/>
              </w:rPr>
              <w:t>notification elements multiplicity equals 1[2]</w:t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CE/SUB/0000</w:t>
            </w:r>
            <w:r>
              <w:rPr>
                <w:rFonts w:ascii="Arial" w:hAnsi="Arial" w:eastAsia="Arial Unicode MS" w:cs="Arial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  <w:t>/00002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zh-cn"/>
              </w:rPr>
              <w:t>Notify with notificationEvent/representation</w:t>
            </w:r>
            <w:r>
              <w:rPr>
                <w:rFonts w:ascii="Arial" w:hAnsi="Arial" w:eastAsia="Arial Unicode MS" w:cs="Arial" w:hint="eastAsia"/>
                <w:strike w:val="1"/>
                <w:color w:val="000000"/>
                <w:sz w:val="18"/>
                <w:szCs w:val="18"/>
                <w:lang w:val="en-gb" w:eastAsia="zh-cn"/>
              </w:rPr>
              <w:t xml:space="preserve"> set in the notification</w:t>
            </w:r>
            <w:r>
              <w:rPr>
                <w:rFonts w:ascii="Arial" w:hAnsi="Arial" w:eastAsia="Arial Unicode MS" w:cs="Arial"/>
                <w:strike w:val="1"/>
                <w:color w:val="00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CE/SUB/0000</w:t>
            </w:r>
            <w:r>
              <w:rPr>
                <w:rFonts w:ascii="Arial" w:hAnsi="Arial" w:eastAsia="Arial Unicode MS" w:cs="Arial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4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  <w:t>/00003</w:t>
            </w:r>
            <w:r>
              <w:rPr>
                <w:rFonts w:ascii="Arial" w:hAnsi="Arial" w:eastAsia="Arial Unicode MS" w:cs="Arial" w:hint="eastAsia"/>
                <w:i/>
                <w:strike w:val="1"/>
                <w:color w:val="0000ff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strike w:val="1"/>
                <w:color w:val="0000ff"/>
                <w:sz w:val="18"/>
                <w:szCs w:val="18"/>
                <w:lang w:val="en-gb" w:eastAsia="zh-cn"/>
              </w:rPr>
              <w:t>Notify with creator set in the notification</w:t>
            </w:r>
          </w:p>
        </w:tc>
      </w:tr>
      <w:tr>
        <w:trPr>
          <w:tblHeader w:val="0"/>
          <w:cantSplit w:val="0"/>
          <w:trHeight w:val="418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SEC</w:t>
            </w:r>
          </w:p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SEC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00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SEC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 xml:space="preserve">Support 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en-us"/>
              </w:rPr>
              <w:t>&lt;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>accessControlPolicy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en-us"/>
              </w:rPr>
              <w:t xml:space="preserve">&gt; 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>resource with attributes multiplicity equals 1[1]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34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CE/SEC/00002</w:t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CE/SEC/00002/00001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  <w:t xml:space="preserve">Support 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  <w:lang w:val="en-gb" w:eastAsia="zh-cn"/>
              </w:rPr>
              <w:t xml:space="preserve">accessControlPolicyIDs </w:t>
            </w:r>
            <w:r>
              <w:rPr>
                <w:rFonts w:ascii="Arial" w:hAnsi="Arial" w:cs="Arial"/>
                <w:color w:val="ff0000"/>
                <w:sz w:val="18"/>
                <w:szCs w:val="18"/>
                <w:lang w:val="en-gb" w:eastAsia="zh-cn"/>
              </w:rPr>
              <w:t>attribute for &lt;resource&gt; that the Implementation supports.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CE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SEC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2/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 xml:space="preserve">Support 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  <w:t>a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 xml:space="preserve">ccess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  <w:t>c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 xml:space="preserve">ontrol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  <w:t>d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>ecision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  <w:lang w:val="en-gb" w:eastAsia="zh-cn"/>
              </w:rPr>
              <w:t xml:space="preserve"> and enforcement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  <w:t xml:space="preserve"> making on the Hosting CSE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z w:val="18"/>
                <w:lang w:val="en-gb" w:eastAsia="zh-cn"/>
              </w:rPr>
              <w:t>GMG</w:t>
            </w: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</w:r>
          </w:p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CE/GMG/00001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CE/GMG/00001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00001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cs="Arial"/>
                <w:color w:val="ff0000"/>
                <w:szCs w:val="18"/>
                <w:lang w:val="en-gb" w:eastAsia="zh-cn"/>
              </w:rPr>
              <w:t>Support the</w:t>
            </w:r>
            <w:r>
              <w:rPr>
                <w:rFonts w:cs="Arial" w:hint="eastAsia"/>
                <w:color w:val="ff0000"/>
                <w:szCs w:val="18"/>
                <w:lang w:val="en-gb" w:eastAsia="zh-cn"/>
              </w:rPr>
              <w:t xml:space="preserve"> </w:t>
            </w:r>
            <w:r>
              <w:rPr>
                <w:rFonts w:cs="Arial" w:hint="eastAsia"/>
                <w:color w:val="ff0000"/>
                <w:szCs w:val="18"/>
                <w:lang w:val="en-gb" w:eastAsia="en-us"/>
              </w:rPr>
              <w:t>&lt;</w:t>
            </w:r>
            <w:r>
              <w:rPr>
                <w:rFonts w:cs="Arial" w:hint="eastAsia"/>
                <w:color w:val="ff0000"/>
                <w:szCs w:val="18"/>
                <w:lang w:val="en-gb" w:eastAsia="zh-cn"/>
              </w:rPr>
              <w:t>group</w:t>
            </w:r>
            <w:r>
              <w:rPr>
                <w:rFonts w:cs="Arial" w:hint="eastAsia"/>
                <w:color w:val="ff0000"/>
                <w:szCs w:val="18"/>
                <w:lang w:val="en-gb" w:eastAsia="en-us"/>
              </w:rPr>
              <w:t xml:space="preserve">&gt; </w:t>
            </w:r>
            <w:r>
              <w:rPr>
                <w:rFonts w:cs="Arial" w:hint="eastAsia"/>
                <w:color w:val="ff0000"/>
                <w:szCs w:val="18"/>
                <w:lang w:val="en-gb" w:eastAsia="zh-cn"/>
              </w:rPr>
              <w:t>resource with attributes multiplicity equals 1</w:t>
            </w:r>
            <w:r>
              <w:rPr>
                <w:rFonts w:cs="Arial"/>
                <w:color w:val="ff0000"/>
                <w:szCs w:val="18"/>
                <w:lang w:val="en-gb" w:eastAsia="zh-cn"/>
              </w:rPr>
              <w:t>[1]</w:t>
            </w:r>
            <w:r>
              <w:rPr>
                <w:color w:val="ff0000"/>
                <w:lang w:val="en-gb" w:eastAsia="en-us"/>
              </w:rPr>
              <w:t xml:space="preserve"> </w:t>
            </w:r>
            <w:r>
              <w:rPr>
                <w:rFonts w:cs="Arial"/>
                <w:color w:val="ff0000"/>
                <w:szCs w:val="18"/>
                <w:lang w:val="en-gb" w:eastAsia="zh-cn"/>
              </w:rPr>
              <w:t>Support &lt;group&gt; resource with MIXED memberType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CE/GMG/0000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2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CE/GMG/0000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2/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en-us"/>
              </w:rPr>
              <w:t>0000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eastAsia="Arial Unicode MS" w:cs="Arial"/>
                <w:color w:val="ff0000"/>
                <w:szCs w:val="18"/>
                <w:lang w:val="en-gb" w:eastAsia="zh-cn"/>
              </w:rPr>
              <w:t>Support &lt;group&gt; resource with single specific resource types</w:t>
            </w:r>
            <w:r>
              <w:rPr>
                <w:rFonts w:eastAsia="Arial Unicode MS" w:cs="Arial" w:hint="eastAsia"/>
                <w:color w:val="ff0000"/>
                <w:szCs w:val="18"/>
                <w:lang w:val="en-gb" w:eastAsia="zh-cn"/>
              </w:rPr>
              <w:t>Support</w:t>
            </w:r>
            <w:r>
              <w:rPr>
                <w:rFonts w:eastAsia="Arial Unicode MS" w:cs="Arial"/>
                <w:i/>
                <w:color w:val="ff0000"/>
                <w:szCs w:val="18"/>
                <w:lang w:val="en-gb" w:eastAsia="en-us"/>
              </w:rPr>
              <w:t xml:space="preserve"> consistencyStrategy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CE/GMG/0000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3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  <w:t>CE/GMG/00003</w:t>
            </w:r>
            <w:r>
              <w:rPr>
                <w:rFonts w:ascii="Arial" w:hAnsi="Arial" w:eastAsia="Arial Unicode MS" w:cs="Arial" w:hint="eastAsia"/>
                <w:i/>
                <w:color w:val="ff0000"/>
                <w:sz w:val="18"/>
                <w:szCs w:val="18"/>
                <w:lang w:val="en-gb" w:eastAsia="zh-cn"/>
              </w:rPr>
              <w:t>/00001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eastAsia="Arial Unicode MS" w:cs="Arial" w:hint="eastAsia"/>
                <w:color w:val="ff0000"/>
                <w:szCs w:val="18"/>
                <w:lang w:val="en-gb" w:eastAsia="zh-cn"/>
              </w:rPr>
              <w:t>Fan out of request to all members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lang w:val="en-gb" w:eastAsia="zh-cn"/>
              </w:rPr>
              <w:t>DIS</w:t>
            </w:r>
            <w:r>
              <w:rPr>
                <w:rFonts w:ascii="Arial" w:hAnsi="Arial" w:eastAsia="Arial Unicode MS" w:cs="Arial"/>
                <w:i/>
                <w:sz w:val="18"/>
                <w:lang w:val="en-gb" w:eastAsia="zh-cn"/>
              </w:rPr>
            </w:r>
          </w:p>
        </w:tc>
        <w:tc>
          <w:tcPr>
            <w:tcW w:w="1429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zh-cn"/>
              </w:rPr>
              <w:t>CE/DIS/00001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  <w:lang w:val="en-gb" w:eastAsia="zh-cn"/>
              </w:rPr>
              <w:t>DIS</w:t>
            </w: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/00001/00001</w:t>
            </w:r>
            <w:r>
              <w:rPr>
                <w:rFonts w:ascii="Arial" w:hAnsi="Arial" w:eastAsia="Arial Unicode MS" w:cs="Arial"/>
                <w:i/>
                <w:color w:val="ff0000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cs="Arial"/>
                <w:color w:val="ff0000"/>
                <w:szCs w:val="18"/>
                <w:lang w:val="en-gb" w:eastAsia="zh-cn"/>
              </w:rPr>
              <w:t>Support the Discovery request with filterUsage equals to "Discovery"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  <w:lang w:val="en-gb" w:eastAsia="zh-cn"/>
              </w:rPr>
              <w:t>DIS</w:t>
            </w: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/00001/00002</w:t>
            </w: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cs="Arial" w:hint="eastAsia"/>
                <w:color w:val="ff0000"/>
                <w:szCs w:val="18"/>
                <w:lang w:val="en-gb" w:eastAsia="zh-cn"/>
              </w:rPr>
              <w:t>Support discovery with filterCriteria</w:t>
            </w:r>
            <w:r>
              <w:rPr>
                <w:rFonts w:cs="Arial"/>
                <w:color w:val="ff0000"/>
                <w:szCs w:val="18"/>
                <w:lang w:val="en-gb" w:eastAsia="zh-cn"/>
              </w:rPr>
              <w:t xml:space="preserve"> (</w:t>
            </w:r>
            <w:r>
              <w:rPr>
                <w:rFonts w:cs="Arial"/>
                <w:i/>
                <w:color w:val="ff0000"/>
                <w:szCs w:val="18"/>
                <w:lang w:val="en-gb" w:eastAsia="zh-cn"/>
              </w:rPr>
              <w:t>createdBefore, createdAfter, modifiedSince, unmodifiedSince, stateTagSmaller, stateTagBigger, expireBefore, expireAfter, labels, resourceType, sizeAbove, sizeBelow, contentType, limit, attribute</w:t>
            </w:r>
            <w:r>
              <w:rPr>
                <w:rFonts w:cs="Arial"/>
                <w:color w:val="ff0000"/>
                <w:szCs w:val="18"/>
                <w:lang w:val="en-gb" w:eastAsia="zh-cn"/>
              </w:rPr>
              <w:t>)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CE/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  <w:lang w:val="en-gb" w:eastAsia="zh-cn"/>
              </w:rPr>
              <w:t>DIS</w:t>
            </w: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  <w:t>/00001/0000</w:t>
            </w:r>
            <w:r>
              <w:rPr>
                <w:rFonts w:ascii="Arial" w:hAnsi="Arial" w:cs="Arial"/>
                <w:i/>
                <w:color w:val="ff0000"/>
                <w:sz w:val="18"/>
                <w:szCs w:val="18"/>
                <w:lang w:val="en-gb" w:eastAsia="zh-cn"/>
              </w:rPr>
              <w:t>6</w:t>
            </w:r>
            <w:r>
              <w:rPr>
                <w:rFonts w:ascii="Arial" w:hAnsi="Arial" w:cs="Arial" w:hint="eastAsia"/>
                <w:i/>
                <w:color w:val="ff0000"/>
                <w:sz w:val="18"/>
                <w:szCs w:val="18"/>
                <w:lang w:val="en-gb" w:eastAsia="zh-cn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pPr>
            <w:r>
              <w:rPr>
                <w:rFonts w:eastAsia="Arial Unicode MS" w:cs="Arial"/>
                <w:color w:val="ff0000"/>
                <w:szCs w:val="18"/>
                <w:lang w:val="en-gb" w:eastAsia="en-us"/>
              </w:rPr>
              <w:t xml:space="preserve">Support </w:t>
            </w:r>
            <w:r>
              <w:rPr>
                <w:rFonts w:eastAsia="Arial Unicode MS" w:cs="Arial" w:hint="eastAsia"/>
                <w:color w:val="ff0000"/>
                <w:szCs w:val="18"/>
                <w:lang w:val="en-gb" w:eastAsia="zh-cn"/>
              </w:rPr>
              <w:t>discovery with filterCriteria (</w:t>
            </w:r>
            <w:r>
              <w:rPr>
                <w:rFonts w:eastAsia="Arial Unicode MS" w:cs="Arial"/>
                <w:i/>
                <w:color w:val="ff0000"/>
                <w:szCs w:val="18"/>
                <w:lang w:val="en-gb" w:eastAsia="en-us"/>
              </w:rPr>
              <w:t>labels</w:t>
            </w:r>
            <w:r>
              <w:rPr>
                <w:rFonts w:eastAsia="Arial Unicode MS" w:cs="Arial" w:hint="eastAsia"/>
                <w:color w:val="ff0000"/>
                <w:szCs w:val="18"/>
                <w:lang w:val="en-gb" w:eastAsia="zh-cn"/>
              </w:rPr>
              <w:t>)</w:t>
            </w:r>
            <w:r>
              <w:rPr>
                <w:rFonts w:ascii="Arial" w:hAnsi="Arial" w:eastAsia="Tahoma" w:cs="Arial"/>
                <w:color w:val="ff0000"/>
                <w:sz w:val="18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 w:val="restart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/>
                <w:i/>
                <w:sz w:val="18"/>
                <w:lang w:val="en-gb" w:eastAsia="zh-cn"/>
              </w:rPr>
            </w:pPr>
            <w:r>
              <w:rPr>
                <w:rFonts w:ascii="Arial" w:hAnsi="Arial" w:eastAsia="Arial Unicode MS" w:cs="Arial"/>
                <w:i/>
                <w:sz w:val="18"/>
                <w:lang w:val="en-gb" w:eastAsia="zh-cn"/>
              </w:rPr>
              <w:t>PCH</w:t>
            </w:r>
          </w:p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PCH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CE/PCH/00001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Arial Unicode MS" w:cs="Arial" w:hint="eastAsia"/>
                <w:strike w:val="1"/>
                <w:szCs w:val="18"/>
                <w:lang w:val="en-gb" w:eastAsia="zh-cn"/>
              </w:rPr>
            </w:pPr>
            <w:r>
              <w:rPr>
                <w:rFonts w:eastAsia="Arial Unicode MS" w:cs="Arial"/>
                <w:strike w:val="1"/>
                <w:szCs w:val="18"/>
                <w:lang w:val="en-gb" w:eastAsia="zh-cn"/>
              </w:rPr>
              <w:t>Polling Channel resource management</w:t>
            </w:r>
            <w:r>
              <w:rPr>
                <w:rFonts w:eastAsia="Arial Unicode MS" w:cs="Arial" w:hint="eastAsia"/>
                <w:strike w:val="1"/>
                <w:szCs w:val="18"/>
                <w:lang w:val="en-gb" w:eastAsia="zh-cn"/>
              </w:rPr>
            </w:r>
          </w:p>
        </w:tc>
      </w:tr>
      <w:tr>
        <w:trPr>
          <w:tblHeader w:val="0"/>
          <w:cantSplit w:val="0"/>
          <w:trHeight w:val="449" w:hRule="atLeast"/>
        </w:trPr>
        <w:tc>
          <w:tcPr>
            <w:tcW w:w="897" w:type="dxa"/>
            <w:vMerge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/>
        </w:tc>
        <w:tc>
          <w:tcPr>
            <w:tcW w:w="1429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CE/</w:t>
            </w:r>
            <w:r>
              <w:rPr>
                <w:rFonts w:ascii="Arial" w:hAnsi="Arial" w:eastAsia="Arial Unicode MS" w:cs="Arial"/>
                <w:i/>
                <w:sz w:val="18"/>
                <w:szCs w:val="18"/>
                <w:lang w:val="en-gb" w:eastAsia="en-us"/>
              </w:rPr>
              <w:t>PCH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  <w:t>/00002</w:t>
            </w:r>
            <w:r>
              <w:rPr>
                <w:rFonts w:ascii="Arial" w:hAnsi="Arial" w:eastAsia="Arial Unicode MS" w:cs="Arial" w:hint="eastAsia"/>
                <w:i/>
                <w:sz w:val="18"/>
                <w:szCs w:val="18"/>
                <w:lang w:val="en-gb" w:eastAsia="en-us"/>
              </w:rPr>
            </w:r>
          </w:p>
        </w:tc>
        <w:tc>
          <w:tcPr>
            <w:tcW w:w="1967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pPr>
            <w:r>
              <w:rPr>
                <w:rFonts w:ascii="Arial" w:hAnsi="Arial" w:eastAsia="Arial Unicode MS" w:cs="Arial"/>
                <w:i/>
                <w:strike w:val="1"/>
                <w:sz w:val="18"/>
                <w:szCs w:val="18"/>
                <w:lang w:val="en-gb" w:eastAsia="en-us"/>
              </w:rPr>
              <w:t>CE/PCH/00002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  <w:t>/00001</w:t>
            </w:r>
            <w:r>
              <w:rPr>
                <w:rFonts w:ascii="Arial" w:hAnsi="Arial" w:eastAsia="Arial Unicode MS" w:cs="Arial" w:hint="eastAsia"/>
                <w:i/>
                <w:strike w:val="1"/>
                <w:sz w:val="18"/>
                <w:szCs w:val="18"/>
                <w:lang w:val="en-gb" w:eastAsia="en-us"/>
              </w:rPr>
            </w:r>
          </w:p>
        </w:tc>
        <w:tc>
          <w:tcPr>
            <w:tcW w:w="5482" w:type="dxa"/>
            <w:shd w:val="none"/>
            <w:tcMar>
              <w:top w:w="0" w:type="dxa"/>
              <w:left w:w="2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78036410" protected="1"/>
          </w:tcPr>
          <w:p>
            <w:pPr>
              <w:keepNext/>
              <w:keepLines/>
              <w:widowControl/>
              <w:tabs defTabSz="284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Arial Unicode MS" w:cs="Arial" w:hint="eastAsia"/>
                <w:strike w:val="1"/>
                <w:szCs w:val="18"/>
                <w:lang w:val="en-gb" w:eastAsia="zh-cn"/>
              </w:rPr>
            </w:pPr>
            <w:r>
              <w:rPr>
                <w:rFonts w:eastAsia="Arial Unicode MS" w:cs="Arial"/>
                <w:strike w:val="1"/>
                <w:szCs w:val="18"/>
                <w:lang w:val="en-gb" w:eastAsia="zh-cn"/>
              </w:rPr>
              <w:t>Long Polling Procedure</w:t>
            </w:r>
            <w:r>
              <w:rPr>
                <w:rFonts w:eastAsia="Arial Unicode MS" w:cs="Arial" w:hint="eastAsia"/>
                <w:strike w:val="1"/>
                <w:szCs w:val="18"/>
                <w:lang w:val="en-gb" w:eastAsia="zh-cn"/>
              </w:rPr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9"/>
    <w:tmLastPosCaret>
      <w:tmLastPosPgfIdx w:val="0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678036410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FL"/>
    <w:qFormat/>
    <w:basedOn w:val="para0"/>
    <w:pPr>
      <w:spacing w:before="60" w:after="180"/>
      <w:jc w:val="center"/>
      <w:keepNext/>
      <w:keepLines/>
      <w:widowControl/>
      <w:tabs defTabSz="284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cs="Arial"/>
      <w:b/>
      <w:lang w:val="en-gb" w:eastAsia="en-us"/>
    </w:rPr>
  </w:style>
  <w:style w:type="paragraph" w:styleId="para5" w:customStyle="1">
    <w:name w:val="TH"/>
    <w:qFormat/>
    <w:basedOn w:val="para4"/>
    <w:next w:val="para4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FL"/>
    <w:qFormat/>
    <w:basedOn w:val="para0"/>
    <w:pPr>
      <w:spacing w:before="60" w:after="180"/>
      <w:jc w:val="center"/>
      <w:keepNext/>
      <w:keepLines/>
      <w:widowControl/>
      <w:tabs defTabSz="284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ascii="Arial" w:hAnsi="Arial" w:cs="Arial"/>
      <w:b/>
      <w:lang w:val="en-gb" w:eastAsia="en-us"/>
    </w:rPr>
  </w:style>
  <w:style w:type="paragraph" w:styleId="para5" w:customStyle="1">
    <w:name w:val="TH"/>
    <w:qFormat/>
    <w:basedOn w:val="para4"/>
    <w:next w:val="para4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2023-03-04T17:16:26Z</dcterms:created>
  <dcterms:modified xsi:type="dcterms:W3CDTF">2023-03-05T17:13:30Z</dcterms:modified>
</cp:coreProperties>
</file>