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goe9xzxx0fid" w:id="0"/>
      <w:bookmarkEnd w:id="0"/>
      <w:r w:rsidDel="00000000" w:rsidR="00000000" w:rsidRPr="00000000">
        <w:rPr>
          <w:rFonts w:ascii="Google Sans" w:cs="Google Sans" w:eastAsia="Google Sans" w:hAnsi="Google Sans"/>
          <w:rtl w:val="0"/>
        </w:rPr>
        <w:t xml:space="preserve">Compliance checklist exemplar</w:t>
      </w:r>
    </w:p>
    <w:p w:rsidR="00000000" w:rsidDel="00000000" w:rsidP="00000000" w:rsidRDefault="00000000" w:rsidRPr="00000000" w14:paraId="00000002">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Federal Energy Regulatory Commission - North American Electric Reliability Corporation (FERC-NERC)</w:t>
      </w:r>
    </w:p>
    <w:p w:rsidR="00000000" w:rsidDel="00000000" w:rsidP="00000000" w:rsidRDefault="00000000" w:rsidRPr="00000000" w14:paraId="00000003">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FERC-NERC regulation applies to organizations that work with electricity or that are involved with the U.S. and North American power grid. Organizations have an obligation to prepare for, mitigate, and report any potential security incident that can negatively affect the power grid. Organizations are legally required to adhere to the Critical Infrastructure Protection Reliability Standards (CIP) defined by the FERC. </w:t>
      </w:r>
      <w:r w:rsidDel="00000000" w:rsidR="00000000" w:rsidRPr="00000000">
        <w:rPr>
          <w:rtl w:val="0"/>
        </w:rPr>
      </w:r>
    </w:p>
    <w:p w:rsidR="00000000" w:rsidDel="00000000" w:rsidP="00000000" w:rsidRDefault="00000000" w:rsidRPr="00000000" w14:paraId="00000004">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NA</w:t>
      </w:r>
      <w:r w:rsidDel="00000000" w:rsidR="00000000" w:rsidRPr="00000000">
        <w:rPr>
          <w:rtl w:val="0"/>
        </w:rPr>
      </w:r>
    </w:p>
    <w:p w:rsidR="00000000" w:rsidDel="00000000" w:rsidP="00000000" w:rsidRDefault="00000000" w:rsidRPr="00000000" w14:paraId="00000005">
      <w:pPr>
        <w:numPr>
          <w:ilvl w:val="0"/>
          <w:numId w:val="3"/>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06">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r w:rsidDel="00000000" w:rsidR="00000000" w:rsidRPr="00000000">
        <w:rPr>
          <w:rtl w:val="0"/>
        </w:rPr>
      </w:r>
    </w:p>
    <w:p w:rsidR="00000000" w:rsidDel="00000000" w:rsidP="00000000" w:rsidRDefault="00000000" w:rsidRPr="00000000" w14:paraId="00000007">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Botium Toys needs to adhere to GDPR because they conduct business and collect personal information from people worldwide, including the E.U.</w:t>
      </w:r>
      <w:r w:rsidDel="00000000" w:rsidR="00000000" w:rsidRPr="00000000">
        <w:rPr>
          <w:rtl w:val="0"/>
        </w:rPr>
      </w:r>
    </w:p>
    <w:p w:rsidR="00000000" w:rsidDel="00000000" w:rsidP="00000000" w:rsidRDefault="00000000" w:rsidRPr="00000000" w14:paraId="00000008">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09">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0A">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Botium Toys needs to adhere to PCI DSS because they store, accept, process, and transmit credit card information in person and online.</w:t>
      </w:r>
      <w:r w:rsidDel="00000000" w:rsidR="00000000" w:rsidRPr="00000000">
        <w:rPr>
          <w:rtl w:val="0"/>
        </w:rPr>
      </w:r>
    </w:p>
    <w:p w:rsidR="00000000" w:rsidDel="00000000" w:rsidP="00000000" w:rsidRDefault="00000000" w:rsidRPr="00000000" w14:paraId="0000000B">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Health Insurance Portability and Accountability Act (HIPAA)</w:t>
      </w:r>
    </w:p>
    <w:p w:rsidR="00000000" w:rsidDel="00000000" w:rsidP="00000000" w:rsidRDefault="00000000" w:rsidRPr="00000000" w14:paraId="0000000C">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HIPAA is a federal law established in 1996 to protect U.S. patients' health information. This law prohibits patient information from being shared without their consent. Organizations have a legal obligation to inform patients of a breach. </w:t>
      </w:r>
    </w:p>
    <w:p w:rsidR="00000000" w:rsidDel="00000000" w:rsidP="00000000" w:rsidRDefault="00000000" w:rsidRPr="00000000" w14:paraId="0000000D">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NA</w:t>
      </w:r>
      <w:r w:rsidDel="00000000" w:rsidR="00000000" w:rsidRPr="00000000">
        <w:rPr>
          <w:rtl w:val="0"/>
        </w:rPr>
      </w:r>
    </w:p>
    <w:p w:rsidR="00000000" w:rsidDel="00000000" w:rsidP="00000000" w:rsidRDefault="00000000" w:rsidRPr="00000000" w14:paraId="0000000E">
      <w:pPr>
        <w:numPr>
          <w:ilvl w:val="0"/>
          <w:numId w:val="2"/>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System and Organizations Controls (SOC type 1, SOC type 2)</w:t>
      </w:r>
    </w:p>
    <w:p w:rsidR="00000000" w:rsidDel="00000000" w:rsidP="00000000" w:rsidRDefault="00000000" w:rsidRPr="00000000" w14:paraId="0000000F">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w:t>
      </w:r>
      <w:r w:rsidDel="00000000" w:rsidR="00000000" w:rsidRPr="00000000">
        <w:rPr>
          <w:rFonts w:ascii="Google Sans" w:cs="Google Sans" w:eastAsia="Google Sans" w:hAnsi="Google Sans"/>
          <w:sz w:val="24"/>
          <w:szCs w:val="24"/>
          <w:rtl w:val="0"/>
        </w:rPr>
        <w:t xml:space="preserve">SOC1 and SOC2</w:t>
      </w:r>
      <w:r w:rsidDel="00000000" w:rsidR="00000000" w:rsidRPr="00000000">
        <w:rPr>
          <w:rFonts w:ascii="Google Sans" w:cs="Google Sans" w:eastAsia="Google Sans" w:hAnsi="Google Sans"/>
          <w:sz w:val="24"/>
          <w:szCs w:val="24"/>
          <w:rtl w:val="0"/>
        </w:rPr>
        <w:t xml:space="preserve">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p>
    <w:p w:rsidR="00000000" w:rsidDel="00000000" w:rsidP="00000000" w:rsidRDefault="00000000" w:rsidRPr="00000000" w14:paraId="00000010">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Botium Toys needs to establish and enforce appropriate user access for internal and external (third-party vendor) personnel to mitigate risk and ensure data safety.</w:t>
      </w: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