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0E34" w14:textId="7524EBD0" w:rsidR="00B85D41" w:rsidRPr="00B85D41" w:rsidRDefault="00B85D41" w:rsidP="00B85D41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 w:rsidRPr="00B85D41">
        <w:rPr>
          <w:rFonts w:hint="eastAsia"/>
          <w:sz w:val="28"/>
          <w:szCs w:val="36"/>
        </w:rPr>
        <w:t>时间</w:t>
      </w:r>
    </w:p>
    <w:p w14:paraId="6F2B8F4A" w14:textId="34105F35" w:rsidR="00B85D41" w:rsidRDefault="00B85D41" w:rsidP="00836F75">
      <w:pPr>
        <w:pStyle w:val="a3"/>
        <w:ind w:left="360" w:firstLineChars="50" w:firstLine="140"/>
        <w:rPr>
          <w:sz w:val="28"/>
          <w:szCs w:val="36"/>
        </w:rPr>
      </w:pPr>
      <w:r w:rsidRPr="00B85D41">
        <w:rPr>
          <w:sz w:val="28"/>
          <w:szCs w:val="36"/>
        </w:rPr>
        <w:t>2018/2/22-2023/3/31</w:t>
      </w:r>
    </w:p>
    <w:p w14:paraId="732152E3" w14:textId="49DB23C8" w:rsidR="00836F75" w:rsidRDefault="00762D96" w:rsidP="00762D96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 w:rsidRPr="00762D96">
        <w:rPr>
          <w:rFonts w:hint="eastAsia"/>
          <w:sz w:val="28"/>
          <w:szCs w:val="36"/>
        </w:rPr>
        <w:t>回报溢出</w:t>
      </w:r>
      <w:r>
        <w:rPr>
          <w:rFonts w:hint="eastAsia"/>
          <w:sz w:val="28"/>
          <w:szCs w:val="36"/>
        </w:rPr>
        <w:t>效应</w:t>
      </w:r>
      <w:r w:rsidRPr="00762D96">
        <w:rPr>
          <w:rFonts w:hint="eastAsia"/>
          <w:sz w:val="28"/>
          <w:szCs w:val="36"/>
        </w:rPr>
        <w:t>-计算值</w:t>
      </w:r>
    </w:p>
    <w:p w14:paraId="079625BD" w14:textId="77777777" w:rsidR="00927CE9" w:rsidRPr="00927CE9" w:rsidRDefault="00927CE9" w:rsidP="00927CE9">
      <w:pPr>
        <w:ind w:left="840"/>
        <w:rPr>
          <w:rFonts w:ascii="宋体" w:eastAsia="宋体" w:hAnsi="宋体"/>
          <w:sz w:val="24"/>
          <w:szCs w:val="32"/>
        </w:rPr>
      </w:pPr>
      <w:r w:rsidRPr="00927CE9">
        <w:rPr>
          <w:rFonts w:ascii="宋体" w:eastAsia="宋体" w:hAnsi="宋体"/>
          <w:sz w:val="24"/>
          <w:szCs w:val="32"/>
        </w:rPr>
        <w:t>收益率计算公式如下：</w:t>
      </w:r>
    </w:p>
    <w:p w14:paraId="76F87CC1" w14:textId="38B8E0A6" w:rsidR="00927CE9" w:rsidRPr="00BD1AEB" w:rsidRDefault="00927CE9" w:rsidP="00BD1AEB">
      <w:pPr>
        <w:pStyle w:val="a3"/>
        <w:ind w:left="360" w:firstLineChars="0" w:firstLine="0"/>
        <w:rPr>
          <w:rFonts w:ascii="宋体" w:eastAsia="宋体" w:hAnsi="宋体"/>
          <w:sz w:val="24"/>
          <w:szCs w:val="32"/>
        </w:rPr>
      </w:pPr>
      <m:oMathPara>
        <m:oMath>
          <m:r>
            <w:rPr>
              <w:rFonts w:ascii="Cambria Math" w:eastAsia="宋体" w:hAnsi="Cambria Math"/>
              <w:sz w:val="24"/>
              <w:szCs w:val="32"/>
            </w:rPr>
            <m:t>Re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32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+1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32"/>
            </w:rPr>
            <m:t>-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32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i</m:t>
                  </m:r>
                </m:sub>
              </m:sSub>
            </m:e>
          </m:func>
        </m:oMath>
      </m:oMathPara>
    </w:p>
    <w:p w14:paraId="278F1679" w14:textId="77777777" w:rsidR="00BD1AEB" w:rsidRPr="00BD1AEB" w:rsidRDefault="00BD1AEB" w:rsidP="00BD1AEB">
      <w:pPr>
        <w:pStyle w:val="a3"/>
        <w:ind w:left="360" w:firstLineChars="0" w:firstLine="0"/>
        <w:rPr>
          <w:rFonts w:ascii="宋体" w:eastAsia="宋体" w:hAnsi="宋体" w:hint="eastAsia"/>
          <w:sz w:val="24"/>
          <w:szCs w:val="32"/>
        </w:rPr>
      </w:pPr>
    </w:p>
    <w:p w14:paraId="1D0119DA" w14:textId="4F6C4F0F" w:rsidR="00762D96" w:rsidRDefault="00762D96" w:rsidP="00762D96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波动率溢出效应-计算值</w:t>
      </w:r>
    </w:p>
    <w:p w14:paraId="41754C49" w14:textId="77777777" w:rsidR="006C0188" w:rsidRPr="006C0188" w:rsidRDefault="006C0188" w:rsidP="006C0188">
      <w:pPr>
        <w:widowControl/>
        <w:spacing w:before="100" w:beforeAutospacing="1" w:after="100" w:afterAutospacing="1"/>
        <w:ind w:firstLine="360"/>
        <w:jc w:val="left"/>
        <w:outlineLvl w:val="2"/>
        <w:rPr>
          <w:rFonts w:ascii="Helvetica Neue" w:eastAsia="宋体" w:hAnsi="Helvetica Neue" w:cs="宋体"/>
          <w:b/>
          <w:bCs/>
          <w:color w:val="121212"/>
          <w:kern w:val="0"/>
          <w:sz w:val="26"/>
          <w:szCs w:val="26"/>
        </w:rPr>
      </w:pPr>
      <w:r w:rsidRPr="006C0188">
        <w:rPr>
          <w:rFonts w:ascii="Helvetica Neue" w:eastAsia="宋体" w:hAnsi="Helvetica Neue" w:cs="宋体"/>
          <w:b/>
          <w:bCs/>
          <w:color w:val="121212"/>
          <w:kern w:val="0"/>
          <w:sz w:val="26"/>
          <w:szCs w:val="26"/>
        </w:rPr>
        <w:t xml:space="preserve">Quasi Maximum Likelihood Estimation (QMLE) </w:t>
      </w:r>
      <w:r w:rsidRPr="006C0188">
        <w:rPr>
          <w:rFonts w:ascii="Helvetica Neue" w:eastAsia="宋体" w:hAnsi="Helvetica Neue" w:cs="宋体"/>
          <w:b/>
          <w:bCs/>
          <w:color w:val="121212"/>
          <w:kern w:val="0"/>
          <w:sz w:val="26"/>
          <w:szCs w:val="26"/>
        </w:rPr>
        <w:t>估计</w:t>
      </w:r>
    </w:p>
    <w:p w14:paraId="0921E40B" w14:textId="705BCD4C" w:rsidR="009C504A" w:rsidRDefault="006C0188" w:rsidP="00250FD8">
      <w:pPr>
        <w:pStyle w:val="a3"/>
        <w:ind w:left="360" w:firstLineChars="0" w:firstLine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（待定）</w:t>
      </w:r>
    </w:p>
    <w:p w14:paraId="4A4BC19D" w14:textId="398F7445" w:rsidR="00762D96" w:rsidRPr="00250FD8" w:rsidRDefault="009C504A" w:rsidP="00762D96">
      <w:pPr>
        <w:pStyle w:val="a3"/>
        <w:ind w:left="360" w:firstLineChars="0" w:firstLine="0"/>
        <w:rPr>
          <w:rFonts w:hint="eastAsia"/>
          <w:color w:val="70AD47" w:themeColor="accent6"/>
          <w:sz w:val="28"/>
          <w:szCs w:val="36"/>
        </w:rPr>
      </w:pPr>
      <w:r w:rsidRPr="00250FD8">
        <w:rPr>
          <w:color w:val="70AD47" w:themeColor="accent6"/>
          <w:sz w:val="28"/>
          <w:szCs w:val="36"/>
        </w:rPr>
        <w:t xml:space="preserve">return and volatility spillovers </w:t>
      </w:r>
    </w:p>
    <w:sectPr w:rsidR="00762D96" w:rsidRPr="00250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15A9"/>
    <w:multiLevelType w:val="hybridMultilevel"/>
    <w:tmpl w:val="22624F4E"/>
    <w:lvl w:ilvl="0" w:tplc="87A8B4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265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1D"/>
    <w:rsid w:val="00016007"/>
    <w:rsid w:val="00051845"/>
    <w:rsid w:val="000724DB"/>
    <w:rsid w:val="00250FD8"/>
    <w:rsid w:val="00313309"/>
    <w:rsid w:val="005065FB"/>
    <w:rsid w:val="005E16A7"/>
    <w:rsid w:val="0067621D"/>
    <w:rsid w:val="006C0188"/>
    <w:rsid w:val="00762D96"/>
    <w:rsid w:val="00836F75"/>
    <w:rsid w:val="008F2831"/>
    <w:rsid w:val="00927CE9"/>
    <w:rsid w:val="009C504A"/>
    <w:rsid w:val="00A35D78"/>
    <w:rsid w:val="00B85D41"/>
    <w:rsid w:val="00BD1AEB"/>
    <w:rsid w:val="00F7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13D1F"/>
  <w15:chartTrackingRefBased/>
  <w15:docId w15:val="{CFED1BCF-7C1E-954F-B229-38AB6D26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C01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D4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C018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2023-04-13T13:21:00Z</dcterms:created>
  <dcterms:modified xsi:type="dcterms:W3CDTF">2023-04-13T13:47:00Z</dcterms:modified>
</cp:coreProperties>
</file>