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5D4037"/>
          <w:sz w:val="40"/>
          <w:szCs w:val="40"/>
        </w:rPr>
        <w:t xml:space="preserve">Especificación de Requisitos de Software (ERS)</w:t>
      </w: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Proyecto: Tienda online "Pastelería 1000 Sabores" — Caso Forma C (DSY1104)</w:t>
      </w:r>
    </w:p>
    <w:p>
      <w:pPr>
        <w:spacing w:after="140"/>
        <w:jc w:val="both"/>
      </w:pPr>
      <w:r>
        <w:rPr>
          <w:b/>
          <w:bCs/>
          <w:sz w:val="21"/>
          <w:szCs w:val="21"/>
        </w:rPr>
        <w:t xml:space="preserve">Estructura basada en:</w:t>
      </w:r>
      <w:r>
        <w:rPr>
          <w:sz w:val="21"/>
          <w:szCs w:val="21"/>
        </w:rPr>
        <w:t xml:space="preserve"> ISO/IEC/IEEE 29148:2018 (Ingeniería de requisitos)</w:t>
      </w:r>
    </w:p>
    <w:p>
      <w:pPr>
        <w:spacing w:after="140"/>
        <w:jc w:val="both"/>
      </w:pPr>
      <w:r>
        <w:rPr>
          <w:b/>
          <w:bCs/>
          <w:sz w:val="21"/>
          <w:szCs w:val="21"/>
        </w:rPr>
        <w:t xml:space="preserve">Atributos de calidad clasificados según:</w:t>
      </w:r>
      <w:r>
        <w:rPr>
          <w:sz w:val="21"/>
          <w:szCs w:val="21"/>
        </w:rPr>
        <w:t xml:space="preserve"> ISO/IEC 25010:2011 (Modelo de calidad del producto software)</w:t>
      </w:r>
    </w:p>
    <w:p>
      <w:pPr>
        <w:spacing w:after="140"/>
        <w:jc w:val="both"/>
      </w:pPr>
      <w:r>
        <w:rPr>
          <w:b/>
          <w:bCs/>
          <w:sz w:val="21"/>
          <w:szCs w:val="21"/>
        </w:rPr>
        <w:t xml:space="preserve">Accesibilidad referenciada según:</w:t>
      </w:r>
      <w:r>
        <w:rPr>
          <w:sz w:val="21"/>
          <w:szCs w:val="21"/>
        </w:rPr>
        <w:t xml:space="preserve"> ISO 9241-171 / WCAG 2.1</w:t>
      </w:r>
    </w:p>
    <w:p>
      <w:pPr>
        <w:spacing w:after="140"/>
        <w:jc w:val="both"/>
      </w:pPr>
      <w:r>
        <w:rPr>
          <w:b/>
          <w:bCs/>
          <w:sz w:val="21"/>
          <w:szCs w:val="21"/>
        </w:rPr>
        <w:t xml:space="preserve">Versión:</w:t>
      </w:r>
      <w:r>
        <w:rPr>
          <w:sz w:val="21"/>
          <w:szCs w:val="21"/>
        </w:rPr>
        <w:t xml:space="preserve"> 1.0 — Propuesta sujeta a validación del docente</w:t>
      </w: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1. Introducción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1.1 Propósito</w:t>
      </w:r>
    </w:p>
    <w:p>
      <w:pPr>
        <w:spacing w:after="140"/>
        <w:jc w:val="both"/>
      </w:pPr>
      <w:r>
        <w:rPr>
          <w:sz w:val="21"/>
          <w:szCs w:val="21"/>
        </w:rPr>
        <w:t xml:space="preserve">Este documento especifica los requisitos de la plataforma de comercio electrónico de Pastelería 1000 Sabores. Está dirigido al docente (como cliente/validador), al equipo de desarrollo y a quien realice las pruebas de aceptación.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1.2 Alcance</w:t>
      </w:r>
    </w:p>
    <w:p>
      <w:pPr>
        <w:spacing w:after="140"/>
        <w:jc w:val="both"/>
      </w:pPr>
      <w:r>
        <w:rPr>
          <w:sz w:val="21"/>
          <w:szCs w:val="21"/>
        </w:rPr>
        <w:t xml:space="preserve">Se construirá una plataforma de e-commerce que permita a los usuarios comprar productos de repostería, personalizar pedidos y acceder a un programa de descuentos basado en edad y promociones especiales.</w:t>
      </w:r>
    </w:p>
    <w:p>
      <w:pPr>
        <w:spacing w:after="140"/>
        <w:jc w:val="both"/>
      </w:pPr>
      <w:r>
        <w:rPr>
          <w:b/>
          <w:bCs/>
          <w:sz w:val="21"/>
          <w:szCs w:val="21"/>
        </w:rPr>
        <w:t xml:space="preserve">Fuera de alcance:</w:t>
      </w:r>
      <w:r>
        <w:rPr>
          <w:sz w:val="21"/>
          <w:szCs w:val="21"/>
        </w:rPr>
        <w:t xml:space="preserve"> el documento del caso no declara exclusiones. Las siguientes se </w:t>
      </w:r>
      <w:r>
        <w:rPr>
          <w:b/>
          <w:bCs/>
          <w:sz w:val="21"/>
          <w:szCs w:val="21"/>
        </w:rPr>
        <w:t xml:space="preserve">proponen</w:t>
      </w:r>
      <w:r>
        <w:rPr>
          <w:sz w:val="21"/>
          <w:szCs w:val="21"/>
        </w:rPr>
        <w:t xml:space="preserve"> para acotar el trabajo y requieren confirmación explícita del docente antes de considerarse válidas: sistema de gestión logística propio, aplicación móvil nativa, ERP e inventario de bodega. El tratamiento del pago no se declara aquí porque está abierto en PDT-07.</w:t>
      </w:r>
    </w:p>
    <w:p>
      <w:pPr>
        <w:pBdr>
          <w:left w:val="single" w:color="8B4513" w:sz="12" w:space="8"/>
        </w:pBdr>
        <w:shd w:fill="FFF5E1" w:color="auto" w:val="clear"/>
        <w:spacing w:after="160" w:before="120"/>
        <w:ind w:left="360"/>
      </w:pPr>
      <w:r>
        <w:rPr>
          <w:b/>
          <w:bCs/>
          <w:i/>
          <w:iCs/>
          <w:sz w:val="20"/>
          <w:szCs w:val="20"/>
        </w:rPr>
        <w:t xml:space="preserve">Nota del caso:</w:t>
      </w:r>
      <w:r>
        <w:rPr>
          <w:i/>
          <w:iCs/>
          <w:sz w:val="20"/>
          <w:szCs w:val="20"/>
        </w:rPr>
        <w:t xml:space="preserve"> el enunciado indica que *no todos los requisitos deben realizarse*. La columna "Prioridad" de este documento es una propuesta que debe ser validada por el docente para congelar la línea base.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1.3 Definiciones y acrónimos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Término</w:t>
            </w:r>
          </w:p>
        </w:tc>
        <w:tc>
          <w:tcPr>
            <w:tcW w:type="dxa" w:w="780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1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</w:t>
            </w:r>
          </w:p>
        </w:tc>
        <w:tc>
          <w:tcPr>
            <w:tcW w:type="dxa" w:w="7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Requisito Funcional</w:t>
            </w:r>
          </w:p>
        </w:tc>
      </w:tr>
      <w:tr>
        <w:trPr>
          <w:tblHeader w:val="false"/>
        </w:trPr>
        <w:tc>
          <w:tcPr>
            <w:tcW w:type="dxa" w:w="156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</w:t>
            </w:r>
          </w:p>
        </w:tc>
        <w:tc>
          <w:tcPr>
            <w:tcW w:type="dxa" w:w="780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Requisito No Funcional</w:t>
            </w:r>
          </w:p>
        </w:tc>
      </w:tr>
      <w:tr>
        <w:trPr>
          <w:tblHeader w:val="false"/>
        </w:trPr>
        <w:tc>
          <w:tcPr>
            <w:tcW w:type="dxa" w:w="1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</w:t>
            </w:r>
          </w:p>
        </w:tc>
        <w:tc>
          <w:tcPr>
            <w:tcW w:type="dxa" w:w="7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Regla de Negocio</w:t>
            </w:r>
          </w:p>
        </w:tc>
      </w:tr>
      <w:tr>
        <w:trPr>
          <w:tblHeader w:val="false"/>
        </w:trPr>
        <w:tc>
          <w:tcPr>
            <w:tcW w:type="dxa" w:w="156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</w:t>
            </w:r>
          </w:p>
        </w:tc>
        <w:tc>
          <w:tcPr>
            <w:tcW w:type="dxa" w:w="780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Requisito de Interfaz</w:t>
            </w:r>
          </w:p>
        </w:tc>
      </w:tr>
      <w:tr>
        <w:trPr>
          <w:tblHeader w:val="false"/>
        </w:trPr>
        <w:tc>
          <w:tcPr>
            <w:tcW w:type="dxa" w:w="1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</w:t>
            </w:r>
          </w:p>
        </w:tc>
        <w:tc>
          <w:tcPr>
            <w:tcW w:type="dxa" w:w="7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Restricción de Diseño</w:t>
            </w:r>
          </w:p>
        </w:tc>
      </w:tr>
      <w:tr>
        <w:trPr>
          <w:tblHeader w:val="false"/>
        </w:trPr>
        <w:tc>
          <w:tcPr>
            <w:tcW w:type="dxa" w:w="156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CLP</w:t>
            </w:r>
          </w:p>
        </w:tc>
        <w:tc>
          <w:tcPr>
            <w:tcW w:type="dxa" w:w="780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Peso chileno</w:t>
            </w:r>
          </w:p>
        </w:tc>
      </w:tr>
      <w:tr>
        <w:trPr>
          <w:tblHeader w:val="false"/>
        </w:trPr>
        <w:tc>
          <w:tcPr>
            <w:tcW w:type="dxa" w:w="1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Usuario Senior</w:t>
            </w:r>
          </w:p>
        </w:tc>
        <w:tc>
          <w:tcPr>
            <w:tcW w:type="dxa" w:w="7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Usuario que cumple el criterio de edad de RN-001 (umbral exacto pendiente, ver PDT-08)</w:t>
            </w:r>
          </w:p>
        </w:tc>
      </w:tr>
      <w:tr>
        <w:trPr>
          <w:tblHeader w:val="false"/>
        </w:trPr>
        <w:tc>
          <w:tcPr>
            <w:tcW w:type="dxa" w:w="156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</w:t>
            </w:r>
          </w:p>
        </w:tc>
        <w:tc>
          <w:tcPr>
            <w:tcW w:type="dxa" w:w="780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Pendiente por definir (*To Be Determined*)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1.4 Convenciones de redacción (ISO/IEC/IEEE 29148, cláusula 5.2)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"deberá"</w:t>
      </w:r>
      <w:r>
        <w:rPr>
          <w:sz w:val="21"/>
          <w:szCs w:val="21"/>
        </w:rPr>
        <w:t xml:space="preserve"> → requisito obligatorio (*shall*).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"debería"</w:t>
      </w:r>
      <w:r>
        <w:rPr>
          <w:sz w:val="21"/>
          <w:szCs w:val="21"/>
        </w:rPr>
        <w:t xml:space="preserve"> → requisito deseable (*should*), no vinculante para la aceptación.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Cada requisito es </w:t>
      </w:r>
      <w:r>
        <w:rPr>
          <w:b/>
          <w:bCs/>
          <w:sz w:val="21"/>
          <w:szCs w:val="21"/>
        </w:rPr>
        <w:t xml:space="preserve">singular</w:t>
      </w:r>
      <w:r>
        <w:rPr>
          <w:sz w:val="21"/>
          <w:szCs w:val="21"/>
        </w:rPr>
        <w:t xml:space="preserve"> (una sola idea), </w:t>
      </w:r>
      <w:r>
        <w:rPr>
          <w:b/>
          <w:bCs/>
          <w:sz w:val="21"/>
          <w:szCs w:val="21"/>
        </w:rPr>
        <w:t xml:space="preserve">verificable</w:t>
      </w:r>
      <w:r>
        <w:rPr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 xml:space="preserve">trazable</w:t>
      </w:r>
      <w:r>
        <w:rPr>
          <w:sz w:val="21"/>
          <w:szCs w:val="21"/>
        </w:rPr>
        <w:t xml:space="preserve"> a su origen en el documento del caso.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Método de verificación: </w:t>
      </w:r>
      <w:r>
        <w:rPr>
          <w:b/>
          <w:bCs/>
          <w:sz w:val="21"/>
          <w:szCs w:val="21"/>
        </w:rPr>
        <w:t xml:space="preserve">I</w:t>
      </w:r>
      <w:r>
        <w:rPr>
          <w:sz w:val="21"/>
          <w:szCs w:val="21"/>
        </w:rPr>
        <w:t xml:space="preserve"> = Inspección, </w:t>
      </w:r>
      <w:r>
        <w:rPr>
          <w:b/>
          <w:bCs/>
          <w:sz w:val="21"/>
          <w:szCs w:val="21"/>
        </w:rPr>
        <w:t xml:space="preserve">A</w:t>
      </w:r>
      <w:r>
        <w:rPr>
          <w:sz w:val="21"/>
          <w:szCs w:val="21"/>
        </w:rPr>
        <w:t xml:space="preserve"> = Análisis, </w:t>
      </w:r>
      <w:r>
        <w:rPr>
          <w:b/>
          <w:bCs/>
          <w:sz w:val="21"/>
          <w:szCs w:val="21"/>
        </w:rPr>
        <w:t xml:space="preserve">D</w:t>
      </w:r>
      <w:r>
        <w:rPr>
          <w:sz w:val="21"/>
          <w:szCs w:val="21"/>
        </w:rPr>
        <w:t xml:space="preserve"> = Demostración, </w:t>
      </w:r>
      <w:r>
        <w:rPr>
          <w:b/>
          <w:bCs/>
          <w:sz w:val="21"/>
          <w:szCs w:val="21"/>
        </w:rPr>
        <w:t xml:space="preserve">P</w:t>
      </w:r>
      <w:r>
        <w:rPr>
          <w:sz w:val="21"/>
          <w:szCs w:val="21"/>
        </w:rPr>
        <w:t xml:space="preserve"> = Prueba.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1.5 Prioridad (MoSCoW)</w:t>
      </w:r>
    </w:p>
    <w:p>
      <w:pPr>
        <w:spacing w:after="140"/>
        <w:jc w:val="both"/>
      </w:pPr>
      <w:r>
        <w:rPr>
          <w:b/>
          <w:bCs/>
          <w:sz w:val="21"/>
          <w:szCs w:val="21"/>
        </w:rPr>
        <w:t xml:space="preserve">M</w:t>
      </w:r>
      <w:r>
        <w:rPr>
          <w:sz w:val="21"/>
          <w:szCs w:val="21"/>
        </w:rPr>
        <w:t xml:space="preserve"> = Must have · </w:t>
      </w:r>
      <w:r>
        <w:rPr>
          <w:b/>
          <w:bCs/>
          <w:sz w:val="21"/>
          <w:szCs w:val="21"/>
        </w:rPr>
        <w:t xml:space="preserve">S</w:t>
      </w:r>
      <w:r>
        <w:rPr>
          <w:sz w:val="21"/>
          <w:szCs w:val="21"/>
        </w:rPr>
        <w:t xml:space="preserve"> = Should have · </w:t>
      </w:r>
      <w:r>
        <w:rPr>
          <w:b/>
          <w:bCs/>
          <w:sz w:val="21"/>
          <w:szCs w:val="21"/>
        </w:rPr>
        <w:t xml:space="preserve">C</w:t>
      </w:r>
      <w:r>
        <w:rPr>
          <w:sz w:val="21"/>
          <w:szCs w:val="21"/>
        </w:rPr>
        <w:t xml:space="preserve"> = Could have · </w:t>
      </w:r>
      <w:r>
        <w:rPr>
          <w:b/>
          <w:bCs/>
          <w:sz w:val="21"/>
          <w:szCs w:val="21"/>
        </w:rPr>
        <w:t xml:space="preserve">W</w:t>
      </w:r>
      <w:r>
        <w:rPr>
          <w:sz w:val="21"/>
          <w:szCs w:val="21"/>
        </w:rPr>
        <w:t xml:space="preserve"> = Won't have (esta versión)</w:t>
      </w: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2. Descripción general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2.1 Perspectiva del producto</w:t>
      </w:r>
    </w:p>
    <w:p>
      <w:pPr>
        <w:spacing w:after="140"/>
        <w:jc w:val="both"/>
      </w:pPr>
      <w:r>
        <w:rPr>
          <w:sz w:val="21"/>
          <w:szCs w:val="21"/>
        </w:rPr>
        <w:t xml:space="preserve">Sistema web nuevo, autónomo, que reemplaza y moderniza el sistema de ventas online actual de la pastelería con 50 años de trayectoria.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2.2 Objetivos de negocio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841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84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OBJ-01</w:t>
            </w:r>
          </w:p>
        </w:tc>
        <w:tc>
          <w:tcPr>
            <w:tcW w:type="dxa" w:w="8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Ofrecer una experiencia de compra moderna y accesible.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OBJ-02</w:t>
            </w:r>
          </w:p>
        </w:tc>
        <w:tc>
          <w:tcPr>
            <w:tcW w:type="dxa" w:w="84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Fidelizar clientes mediante un programa de descuentos por edad y promociones.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OBJ-03</w:t>
            </w:r>
          </w:p>
        </w:tc>
        <w:tc>
          <w:tcPr>
            <w:tcW w:type="dxa" w:w="8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Reforzar la identidad histórica y tradicional de la marca.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OBJ-04</w:t>
            </w:r>
          </w:p>
        </w:tc>
        <w:tc>
          <w:tcPr>
            <w:tcW w:type="dxa" w:w="84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Visibilizar el impacto en la comunidad y en la formación de estudiantes de gastronomía.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2.3 Características de los usuarios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2080"/>
        <w:gridCol w:w="2600"/>
        <w:gridCol w:w="4680"/>
      </w:tblGrid>
      <w:tr>
        <w:trPr>
          <w:tblHeader/>
        </w:trPr>
        <w:tc>
          <w:tcPr>
            <w:tcW w:type="dxa" w:w="208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Perfil</w:t>
            </w:r>
          </w:p>
        </w:tc>
        <w:tc>
          <w:tcPr>
            <w:tcW w:type="dxa" w:w="260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68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Necesidad principal</w:t>
            </w:r>
          </w:p>
        </w:tc>
      </w:tr>
      <w:tr>
        <w:trPr>
          <w:tblHeader w:val="false"/>
        </w:trPr>
        <w:tc>
          <w:tcPr>
            <w:tcW w:type="dxa" w:w="2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Visitante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registrado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Navegar el catálogo y conocer la marca</w:t>
            </w:r>
          </w:p>
        </w:tc>
      </w:tr>
      <w:tr>
        <w:trPr>
          <w:tblHeader w:val="false"/>
        </w:trPr>
        <w:tc>
          <w:tcPr>
            <w:tcW w:type="dxa" w:w="208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Cliente registrado</w:t>
            </w:r>
          </w:p>
        </w:tc>
        <w:tc>
          <w:tcPr>
            <w:tcW w:type="dxa" w:w="260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Compra habitual</w:t>
            </w:r>
          </w:p>
        </w:tc>
        <w:tc>
          <w:tcPr>
            <w:tcW w:type="dxa" w:w="468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Comprar, personalizar y seguir pedidos</w:t>
            </w:r>
          </w:p>
        </w:tc>
      </w:tr>
      <w:tr>
        <w:trPr>
          <w:tblHeader w:val="false"/>
        </w:trPr>
        <w:tc>
          <w:tcPr>
            <w:tcW w:type="dxa" w:w="2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Cliente Senior (50+)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Mayor de 50 años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Acceder al 50% de descuento; interfaz legible</w:t>
            </w:r>
          </w:p>
        </w:tc>
      </w:tr>
      <w:tr>
        <w:trPr>
          <w:tblHeader w:val="false"/>
        </w:trPr>
        <w:tc>
          <w:tcPr>
            <w:tcW w:type="dxa" w:w="208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Estudiante Duoc</w:t>
            </w:r>
          </w:p>
        </w:tc>
        <w:tc>
          <w:tcPr>
            <w:tcW w:type="dxa" w:w="260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Correo institucional</w:t>
            </w:r>
          </w:p>
        </w:tc>
        <w:tc>
          <w:tcPr>
            <w:tcW w:type="dxa" w:w="468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gratis de cumpleaños</w:t>
            </w:r>
          </w:p>
        </w:tc>
      </w:tr>
      <w:tr>
        <w:trPr>
          <w:tblHeader w:val="false"/>
        </w:trPr>
        <w:tc>
          <w:tcPr>
            <w:tcW w:type="dxa" w:w="2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Personal de la pastelería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Gestionar catálogo y estados de pedidos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2.4 Supuestos y dependencias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SUP-01: El usuario declara su fecha de nacimiento al registrarse y esta se considera fidedigna.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SUP-02: La condición de estudiante Duoc se acredita mediante el dominio del correo institucional.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SUP-03: Los precios están expresados en CLP.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DEP-01: Disponibilidad de Google Fonts para las tipografías Lato y Pacifico.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DEP-02: Disponibilidad de las APIs de redes sociales para la función de compartir.</w:t>
      </w: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3. Reglas de negocio</w:t>
      </w:r>
    </w:p>
    <w:p>
      <w:pPr>
        <w:spacing w:after="140"/>
        <w:jc w:val="both"/>
      </w:pPr>
      <w:r>
        <w:rPr>
          <w:sz w:val="21"/>
          <w:szCs w:val="21"/>
        </w:rPr>
        <w:t xml:space="preserve">Se separan de los RF porque son políticas comerciales que el sistema debe aplicar, y su cambio no implica cambiar la función sino el parámetro.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460"/>
        <w:gridCol w:w="1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46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Regla</w:t>
            </w:r>
          </w:p>
        </w:tc>
        <w:tc>
          <w:tcPr>
            <w:tcW w:type="dxa" w:w="1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Origen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RN-001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 usuarios de 50 años o más obtienen un 50% de descuento sobre todos los productos.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Req. Funcionales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RN-002</w:t>
            </w:r>
          </w:p>
        </w:tc>
        <w:tc>
          <w:tcPr>
            <w:tcW w:type="dxa" w:w="646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 usuarios que se registren con el código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FELICES50</w:t>
            </w:r>
            <w:r>
              <w:rPr>
                <w:sz w:val="18"/>
                <w:szCs w:val="18"/>
              </w:rPr>
              <w:t xml:space="preserve"> obtienen un 10% de descuento de por vida.</w:t>
            </w:r>
          </w:p>
        </w:tc>
        <w:tc>
          <w:tcPr>
            <w:tcW w:type="dxa" w:w="1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Req. Funcionales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RN-003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 estudiantes de Duoc registrados con correo institucional reciben una torta gratis el día de su cumpleaños.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Req. Funcionales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RN-004</w:t>
            </w:r>
          </w:p>
        </w:tc>
        <w:tc>
          <w:tcPr>
            <w:tcW w:type="dxa" w:w="646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PDT-01:</w:t>
            </w:r>
            <w:r>
              <w:rPr>
                <w:sz w:val="18"/>
                <w:szCs w:val="18"/>
              </w:rPr>
              <w:t xml:space="preserve"> Debe definirse si los descuentos RN-001 y RN-002 son acumulables o si se aplica solo el más favorable.</w:t>
            </w:r>
          </w:p>
        </w:tc>
        <w:tc>
          <w:tcPr>
            <w:tcW w:type="dxa" w:w="1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Ambigüedad detectada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RN-005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PDT-02:</w:t>
            </w:r>
            <w:r>
              <w:rPr>
                <w:sz w:val="18"/>
                <w:szCs w:val="18"/>
              </w:rPr>
              <w:t xml:space="preserve"> Debe definirse el alcance de RN-003: producto específico o cualquier torta, y si aplica solo el día exacto del cumpleaños o durante el mes.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Ambigüedad detectada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RN-006</w:t>
            </w:r>
          </w:p>
        </w:tc>
        <w:tc>
          <w:tcPr>
            <w:tcW w:type="dxa" w:w="646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PDT-03:</w:t>
            </w:r>
            <w:r>
              <w:rPr>
                <w:sz w:val="18"/>
                <w:szCs w:val="18"/>
              </w:rPr>
              <w:t xml:space="preserve"> Debe definirse si los precios del catálogo incluyen IVA y si el descuento se aplica antes o después del impuesto.</w:t>
            </w:r>
          </w:p>
        </w:tc>
        <w:tc>
          <w:tcPr>
            <w:tcW w:type="dxa" w:w="1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Ambigüedad detectada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4. Requisitos funcionales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4.1 Registro y autenticación de usuarios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RF-001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el registro de nuevos usuarios solicitando, como mínimo: nombre completo, correo electrónico, fecha de nacimiento y contraseña.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RF-002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validar que el correo electrónico tenga formato válido y que no esté previamente registrado.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RF-003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el inicio y cierre de sesión mediante correo y contraseña.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RF-004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calcular la edad del usuario a partir de su fecha de nacimiento y asignar automáticamente el beneficio de 50% de descuento cuando la edad alcance el umbral definido en RN-001 (umbral pendiente, ver PDT-08).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RF-005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aceptar un campo opcional de código promocional en el formulario de registro y, cuando el valor ingresado sea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FELICES50</w:t>
            </w:r>
            <w:r>
              <w:rPr>
                <w:sz w:val="18"/>
                <w:szCs w:val="18"/>
              </w:rPr>
              <w:t xml:space="preserve">, asociar de forma permanente al usuario un descuento del 10% (RN-002).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RF-006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identificar como estudiante Duoc a todo usuario cuyo correo pertenezca al dominio institucional y registrar el beneficio de torta gratis de cumpleaños (RN-003).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RF-007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mostrar al usuario, tras el registro, los beneficios que le fueron asignados.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4.2 Gestión de perfiles de usuario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RF-008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al usuario autenticado visualizar y actualizar su información personal.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RF-009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al usuario gestionar sus preferencias de compra (por ejemplo: categorías favoritas, restricciones como sin azúcar, sin gluten o vegano).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RF-010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al usuario consultar su historial de pedidos.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4.3 Visualización del catálogo de productos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RF-011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mostrar el catálogo de productos organizado en las 8 categorías definidas (Tortas Cuadradas, Tortas Circulares, Postres Individuales, Productos Sin Azúcar, Pastelería Tradicional, Productos Sin Gluten, Productos Veganos, Tortas Especiales).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RF-012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mostrar para cada producto: código, categoría, nombre, descripción, precio en CLP e imagen.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RF-013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filtrar el catálogo por categoría, por tipo de torta (cuadrada o circular) y por tamaño.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RF-014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ofrecer una vista de detalle por producto que incluya la personalización disponible.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RF-015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al usuario añadir un mensaje especial personalizado a los productos que admitan personalización, con un máximo de </w:t>
            </w:r>
            <w:r>
              <w:rPr>
                <w:sz w:val="18"/>
                <w:szCs w:val="18"/>
              </w:rPr>
              <w:t xml:space="preserve">PDT-04</w:t>
            </w:r>
            <w:r>
              <w:rPr>
                <w:sz w:val="18"/>
                <w:szCs w:val="18"/>
              </w:rPr>
              <w:t xml:space="preserve"> caracteres.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RF-016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mostrar el precio con descuento aplicado cuando el usuario autenticado posea beneficios vigentes, indicando el precio original y el precio final.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4.4 Carrito de compras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RF-017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agregar productos al carrito indicando cantidad.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RF-018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modificar la cantidad de un producto ya presente en el carrito.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RF-019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eliminar productos del carrito.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RF-020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mostrar un resumen del carrito con el detalle por línea (producto, cantidad, precio unitario, subtotal), los descuentos aplicados y el total a pagar.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RF-021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conservar el contenido del carrito mientras dure la sesión del usuario.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4.5 Procesamiento y seguimiento de pedidos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RF-022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confirmar el pedido a partir del contenido del carrito.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RF-023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generar una boleta asociada al pedido, con identificador único, fecha, detalle de productos, descuentos aplicados y total.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RF-024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registrar y mostrar el estado del pedido en, al menos, los estados: Recibido, En preparación, Despachado y Entregado.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RF-025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notificar al usuario cada cambio de estado del pedido.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4.6 Gestión de envíos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RF-026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al usuario seleccionar una fecha de entrega preferida durante la confirmación del pedido.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RF-027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validar que la fecha de entrega seleccionada respete un plazo mínimo de preparación de </w:t>
            </w:r>
            <w:r>
              <w:rPr>
                <w:sz w:val="18"/>
                <w:szCs w:val="18"/>
              </w:rPr>
              <w:t xml:space="preserve">PDT-05</w:t>
            </w:r>
            <w:r>
              <w:rPr>
                <w:sz w:val="18"/>
                <w:szCs w:val="18"/>
              </w:rPr>
              <w:t xml:space="preserve"> días.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RF-028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mostrar el seguimiento del envío, actualizando el estado con una latencia no superior a 60 segundos respecto del cambio registrado en origen.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4.7 Promoción y difusión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RF-029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compartir un producto o promoción en redes sociales desde la ficha del producto.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RF-030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debería ofrecer una búsqueda avanzada con filtros combinables por nombre, categoría, rango de precio y restricción alimentaria.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RF-031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debería incluir una sección de blog y noticias con recetas y consejos de estudiantes de gastronomía de Duoc.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RF-032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debería mostrar recomendaciones de productos basadas en el historial de compras y las preferencias del usuario.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RF-033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debería incluir una sección que describa la historia y el origen de las recetas tradicionales.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RF-034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debería incluir una sección de impacto comunitario que explique cómo las compras apoyan a los estudiantes de gastronomía y a la comunidad local.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4.8 Administración (requisito derivado)</w:t>
      </w:r>
    </w:p>
    <w:p>
      <w:pPr>
        <w:pBdr>
          <w:left w:val="single" w:color="8B4513" w:sz="12" w:space="8"/>
        </w:pBdr>
        <w:shd w:fill="FFF5E1" w:color="auto" w:val="clear"/>
        <w:spacing w:after="160" w:before="120"/>
        <w:ind w:left="360"/>
      </w:pPr>
      <w:r>
        <w:rPr>
          <w:i/>
          <w:iCs/>
          <w:sz w:val="20"/>
          <w:szCs w:val="20"/>
        </w:rPr>
        <w:t xml:space="preserve">No está explícito en el caso, pero RF-011 y RF-024 no son sostenibles sin él. Requiere validación del docente.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RF-035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a un usuario administrador crear, editar y desactivar productos del catálogo.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RF-036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permitir a un usuario administrador actualizar el estado de los pedidos.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5. Requisitos no funcionales (clasificados según ISO/IEC 25010)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5.1 Usabilidad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RNF-001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 interfaz deberá reflejar la tradición y la historia de la marca mediante recursos visuales de carácter nostálgico.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RNF-002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 usuario nuevo deberá poder completar el flujo de compra (selección, carrito y confirmación) sin instrucciones externas y en un máximo de 5 pasos.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RNF-003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presentar mensajes de error claros e indicar la acción correctiva en los formularios de registro, inicio de sesión y compra.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RNF-004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cumplir un contraste mínimo de 4.5:1 entre texto y fondo (WCAG 2.1 nivel AA), considerando especialmente al segmento de usuarios mayores de 50 años.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5.2 Eficiencia de desempeño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RNF-005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Las páginas de catálogo y detalle de producto deberán cargar en un tiempo máximo de 3 segundos con una conexión de 10 Mbps.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RNF-006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soportar al menos 100 usuarios concurrentes sin degradación superior al 20% en los tiempos de respuesta.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5.3 Seguridad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RNF-007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almacenar las contraseñas cifradas mediante una función de hash con salt; en ningún caso en texto plano.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RNF-008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restringir el acceso a los datos del perfil, el historial y las boletas exclusivamente a su usuario propietario y a los administradores.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RNF-009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validar y sanitizar toda entrada de usuario para prevenir inyección de código y XSS.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RNF-010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tratamiento de datos personales deberá ajustarse a la Ley N° 19.628 sobre protección de la vida privada.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5.4 Compatibilidad y portabilidad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RNF-011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sistema deberá operar correctamente en las versiones vigentes de Chrome, Firefox, Edge y Safari.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RNF-012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 interfaz deberá ser responsiva y adaptarse a resoluciones desde 320 px hasta 1920 px de ancho.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5.5 Fiabilidad y mantenibilidad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6510"/>
        <w:gridCol w:w="950"/>
        <w:gridCol w:w="950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651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Verif.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RNF-013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Ante una caída de la conexión durante la confirmación del pedido, el sistema no deberá generar pedidos duplicados.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RNF-014</w:t>
            </w:r>
          </w:p>
        </w:tc>
        <w:tc>
          <w:tcPr>
            <w:tcW w:type="dxa" w:w="651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código deberá estar organizado en capas separadas de presentación, lógica de negocio y acceso a datos.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RNF-015</w:t>
            </w:r>
          </w:p>
        </w:tc>
        <w:tc>
          <w:tcPr>
            <w:tcW w:type="dxa" w:w="65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 valores de los descuentos (RN-001, RN-002) deberán ser parametrizables sin modificar el código fuente.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6. Restricciones de diseño (interfaz de usuario)</w:t>
      </w:r>
    </w:p>
    <w:p>
      <w:pPr>
        <w:spacing w:after="140"/>
        <w:jc w:val="both"/>
      </w:pPr>
      <w:r>
        <w:rPr>
          <w:sz w:val="21"/>
          <w:szCs w:val="21"/>
        </w:rPr>
        <w:t xml:space="preserve">Valores fijados por el cliente en la "Propuesta de Diseño Visual"; no son negociables por el equipo de desarrollo.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4439"/>
        <w:gridCol w:w="3971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4439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971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RD-001</w:t>
            </w:r>
          </w:p>
        </w:tc>
        <w:tc>
          <w:tcPr>
            <w:tcW w:type="dxa" w:w="443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Color de fondo principal</w:t>
            </w:r>
          </w:p>
        </w:tc>
        <w:tc>
          <w:tcPr>
            <w:tcW w:type="dxa" w:w="39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Crema Pastel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#FFF5E1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RD-002</w:t>
            </w:r>
          </w:p>
        </w:tc>
        <w:tc>
          <w:tcPr>
            <w:tcW w:type="dxa" w:w="4439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Color de acento primario</w:t>
            </w:r>
          </w:p>
        </w:tc>
        <w:tc>
          <w:tcPr>
            <w:tcW w:type="dxa" w:w="3971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Rosa Suave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#FFC0CB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RD-003</w:t>
            </w:r>
          </w:p>
        </w:tc>
        <w:tc>
          <w:tcPr>
            <w:tcW w:type="dxa" w:w="443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Color de acento secundario</w:t>
            </w:r>
          </w:p>
        </w:tc>
        <w:tc>
          <w:tcPr>
            <w:tcW w:type="dxa" w:w="39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Chocolate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#8B4513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RD-004</w:t>
            </w:r>
          </w:p>
        </w:tc>
        <w:tc>
          <w:tcPr>
            <w:tcW w:type="dxa" w:w="4439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Color de texto principal</w:t>
            </w:r>
          </w:p>
        </w:tc>
        <w:tc>
          <w:tcPr>
            <w:tcW w:type="dxa" w:w="3971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Marrón Oscuro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#5D4037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RD-005</w:t>
            </w:r>
          </w:p>
        </w:tc>
        <w:tc>
          <w:tcPr>
            <w:tcW w:type="dxa" w:w="443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Color de texto secundario</w:t>
            </w:r>
          </w:p>
        </w:tc>
        <w:tc>
          <w:tcPr>
            <w:tcW w:type="dxa" w:w="39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Gris Claro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#B0BEC5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RD-006</w:t>
            </w:r>
          </w:p>
        </w:tc>
        <w:tc>
          <w:tcPr>
            <w:tcW w:type="dxa" w:w="4439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Tipografía general</w:t>
            </w:r>
          </w:p>
        </w:tc>
        <w:tc>
          <w:tcPr>
            <w:tcW w:type="dxa" w:w="3971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Lato (sans-serif)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RD-007</w:t>
            </w:r>
          </w:p>
        </w:tc>
        <w:tc>
          <w:tcPr>
            <w:tcW w:type="dxa" w:w="443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Tipografía de encabezados</w:t>
            </w:r>
          </w:p>
        </w:tc>
        <w:tc>
          <w:tcPr>
            <w:tcW w:type="dxa" w:w="39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Pacifico (cursiva)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RD-008</w:t>
            </w:r>
          </w:p>
        </w:tc>
        <w:tc>
          <w:tcPr>
            <w:tcW w:type="dxa" w:w="4439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Botones y elementos interactivos</w:t>
            </w:r>
          </w:p>
        </w:tc>
        <w:tc>
          <w:tcPr>
            <w:tcW w:type="dxa" w:w="3971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Deberán usar RD-002 y RD-003</w:t>
            </w:r>
          </w:p>
        </w:tc>
      </w:tr>
    </w:tbl>
    <w:p>
      <w:pPr>
        <w:spacing w:after="200"/>
      </w:pPr>
    </w:p>
    <w:p>
      <w:pPr>
        <w:pBdr>
          <w:left w:val="single" w:color="8B4513" w:sz="12" w:space="8"/>
        </w:pBdr>
        <w:shd w:fill="FFF5E1" w:color="auto" w:val="clear"/>
        <w:spacing w:after="160" w:before="120"/>
        <w:ind w:left="360"/>
      </w:pPr>
      <w:r>
        <w:rPr>
          <w:b/>
          <w:bCs/>
          <w:i/>
          <w:iCs/>
          <w:sz w:val="20"/>
          <w:szCs w:val="20"/>
        </w:rPr>
        <w:t xml:space="preserve">Observación de calidad (ISO/IEC 25010 – Usabilidad):</w:t>
      </w:r>
      <w:r>
        <w:rPr>
          <w:i/>
          <w:iCs/>
          <w:sz w:val="20"/>
          <w:szCs w:val="20"/>
        </w:rPr>
        <w:t xml:space="preserve"> el gris claro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#B0BEC5</w:t>
      </w:r>
      <w:r>
        <w:rPr>
          <w:i/>
          <w:iCs/>
          <w:sz w:val="20"/>
          <w:szCs w:val="20"/>
        </w:rPr>
        <w:t xml:space="preserve"> sobre el fondo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#FFF5E1</w:t>
      </w:r>
      <w:r>
        <w:rPr>
          <w:i/>
          <w:iCs/>
          <w:sz w:val="20"/>
          <w:szCs w:val="20"/>
        </w:rPr>
        <w:t xml:space="preserve"> ofrece un contraste aproximado de 1.9:1, insuficiente para cumplir RNF-004. Se recomienda proponer al cliente un tono más oscuro para el texto secundario o restringir su uso a elementos no informativos.</w:t>
      </w: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7. Datos del catálogo (línea base)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3028"/>
        <w:gridCol w:w="3730"/>
        <w:gridCol w:w="1652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Código</w:t>
            </w:r>
          </w:p>
        </w:tc>
        <w:tc>
          <w:tcPr>
            <w:tcW w:type="dxa" w:w="3028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73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Nombre</w:t>
            </w:r>
          </w:p>
        </w:tc>
        <w:tc>
          <w:tcPr>
            <w:tcW w:type="dxa" w:w="1652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Precio (CLP)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TC001</w:t>
            </w:r>
          </w:p>
        </w:tc>
        <w:tc>
          <w:tcPr>
            <w:tcW w:type="dxa" w:w="30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Tortas Cuadradas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Cuadrada de Chocolate</w:t>
            </w:r>
          </w:p>
        </w:tc>
        <w:tc>
          <w:tcPr>
            <w:tcW w:type="dxa" w:w="16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45.000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TC002</w:t>
            </w:r>
          </w:p>
        </w:tc>
        <w:tc>
          <w:tcPr>
            <w:tcW w:type="dxa" w:w="3028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Tortas Cuadradas</w:t>
            </w:r>
          </w:p>
        </w:tc>
        <w:tc>
          <w:tcPr>
            <w:tcW w:type="dxa" w:w="373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Cuadrada de Frutas</w:t>
            </w:r>
          </w:p>
        </w:tc>
        <w:tc>
          <w:tcPr>
            <w:tcW w:type="dxa" w:w="165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50.000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TT001</w:t>
            </w:r>
          </w:p>
        </w:tc>
        <w:tc>
          <w:tcPr>
            <w:tcW w:type="dxa" w:w="30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Tortas Circulares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Circular de Vainilla</w:t>
            </w:r>
          </w:p>
        </w:tc>
        <w:tc>
          <w:tcPr>
            <w:tcW w:type="dxa" w:w="16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40.000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TT002</w:t>
            </w:r>
          </w:p>
        </w:tc>
        <w:tc>
          <w:tcPr>
            <w:tcW w:type="dxa" w:w="3028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Tortas Circulares</w:t>
            </w:r>
          </w:p>
        </w:tc>
        <w:tc>
          <w:tcPr>
            <w:tcW w:type="dxa" w:w="373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Circular de Manjar</w:t>
            </w:r>
          </w:p>
        </w:tc>
        <w:tc>
          <w:tcPr>
            <w:tcW w:type="dxa" w:w="165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42.000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PI001</w:t>
            </w:r>
          </w:p>
        </w:tc>
        <w:tc>
          <w:tcPr>
            <w:tcW w:type="dxa" w:w="30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Postres Individuales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Mousse de Chocolate</w:t>
            </w:r>
          </w:p>
        </w:tc>
        <w:tc>
          <w:tcPr>
            <w:tcW w:type="dxa" w:w="16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5.000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PI002</w:t>
            </w:r>
          </w:p>
        </w:tc>
        <w:tc>
          <w:tcPr>
            <w:tcW w:type="dxa" w:w="3028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Postres Individuales</w:t>
            </w:r>
          </w:p>
        </w:tc>
        <w:tc>
          <w:tcPr>
            <w:tcW w:type="dxa" w:w="373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Tiramisú Clásico</w:t>
            </w:r>
          </w:p>
        </w:tc>
        <w:tc>
          <w:tcPr>
            <w:tcW w:type="dxa" w:w="165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5.500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PSA001</w:t>
            </w:r>
          </w:p>
        </w:tc>
        <w:tc>
          <w:tcPr>
            <w:tcW w:type="dxa" w:w="30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Productos Sin Azúcar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Sin Azúcar de Naranja</w:t>
            </w:r>
          </w:p>
        </w:tc>
        <w:tc>
          <w:tcPr>
            <w:tcW w:type="dxa" w:w="16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48.000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PSA002</w:t>
            </w:r>
          </w:p>
        </w:tc>
        <w:tc>
          <w:tcPr>
            <w:tcW w:type="dxa" w:w="3028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Productos Sin Azúcar</w:t>
            </w:r>
          </w:p>
        </w:tc>
        <w:tc>
          <w:tcPr>
            <w:tcW w:type="dxa" w:w="373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Cheesecake Sin Azúcar</w:t>
            </w:r>
          </w:p>
        </w:tc>
        <w:tc>
          <w:tcPr>
            <w:tcW w:type="dxa" w:w="165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47.000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PT001</w:t>
            </w:r>
          </w:p>
        </w:tc>
        <w:tc>
          <w:tcPr>
            <w:tcW w:type="dxa" w:w="30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Pastelería Tradicional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Empanada de Manzana</w:t>
            </w:r>
          </w:p>
        </w:tc>
        <w:tc>
          <w:tcPr>
            <w:tcW w:type="dxa" w:w="16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3.000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PT002</w:t>
            </w:r>
          </w:p>
        </w:tc>
        <w:tc>
          <w:tcPr>
            <w:tcW w:type="dxa" w:w="3028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Pastelería Tradicional</w:t>
            </w:r>
          </w:p>
        </w:tc>
        <w:tc>
          <w:tcPr>
            <w:tcW w:type="dxa" w:w="373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Tarta de Santiago</w:t>
            </w:r>
          </w:p>
        </w:tc>
        <w:tc>
          <w:tcPr>
            <w:tcW w:type="dxa" w:w="165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6.000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PG001</w:t>
            </w:r>
          </w:p>
        </w:tc>
        <w:tc>
          <w:tcPr>
            <w:tcW w:type="dxa" w:w="30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Productos Sin Gluten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Brownie Sin Gluten</w:t>
            </w:r>
          </w:p>
        </w:tc>
        <w:tc>
          <w:tcPr>
            <w:tcW w:type="dxa" w:w="16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4.000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PG002</w:t>
            </w:r>
          </w:p>
        </w:tc>
        <w:tc>
          <w:tcPr>
            <w:tcW w:type="dxa" w:w="3028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Productos Sin Gluten</w:t>
            </w:r>
          </w:p>
        </w:tc>
        <w:tc>
          <w:tcPr>
            <w:tcW w:type="dxa" w:w="373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Pan Sin Gluten</w:t>
            </w:r>
          </w:p>
        </w:tc>
        <w:tc>
          <w:tcPr>
            <w:tcW w:type="dxa" w:w="165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3.500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PV001</w:t>
            </w:r>
          </w:p>
        </w:tc>
        <w:tc>
          <w:tcPr>
            <w:tcW w:type="dxa" w:w="30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Productos Veganos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Vegana de Chocolate</w:t>
            </w:r>
          </w:p>
        </w:tc>
        <w:tc>
          <w:tcPr>
            <w:tcW w:type="dxa" w:w="16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50.000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PV002</w:t>
            </w:r>
          </w:p>
        </w:tc>
        <w:tc>
          <w:tcPr>
            <w:tcW w:type="dxa" w:w="3028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Productos Veganos</w:t>
            </w:r>
          </w:p>
        </w:tc>
        <w:tc>
          <w:tcPr>
            <w:tcW w:type="dxa" w:w="373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Galletas Veganas de Avena</w:t>
            </w:r>
          </w:p>
        </w:tc>
        <w:tc>
          <w:tcPr>
            <w:tcW w:type="dxa" w:w="165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4.500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TE001</w:t>
            </w:r>
          </w:p>
        </w:tc>
        <w:tc>
          <w:tcPr>
            <w:tcW w:type="dxa" w:w="30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Tortas Especiales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Especial de Cumpleaños</w:t>
            </w:r>
          </w:p>
        </w:tc>
        <w:tc>
          <w:tcPr>
            <w:tcW w:type="dxa" w:w="16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55.000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TE002</w:t>
            </w:r>
          </w:p>
        </w:tc>
        <w:tc>
          <w:tcPr>
            <w:tcW w:type="dxa" w:w="3028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Tortas Especiales</w:t>
            </w:r>
          </w:p>
        </w:tc>
        <w:tc>
          <w:tcPr>
            <w:tcW w:type="dxa" w:w="373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Torta Especial de Boda</w:t>
            </w:r>
          </w:p>
        </w:tc>
        <w:tc>
          <w:tcPr>
            <w:tcW w:type="dxa" w:w="165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60.000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8. Matriz de trazabilidad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5477"/>
        <w:gridCol w:w="3883"/>
      </w:tblGrid>
      <w:tr>
        <w:trPr>
          <w:tblHeader/>
        </w:trPr>
        <w:tc>
          <w:tcPr>
            <w:tcW w:type="dxa" w:w="5477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Origen en el documento del caso</w:t>
            </w:r>
          </w:p>
        </w:tc>
        <w:tc>
          <w:tcPr>
            <w:tcW w:type="dxa" w:w="3883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Requisitos derivados</w:t>
            </w:r>
          </w:p>
        </w:tc>
      </w:tr>
      <w:tr>
        <w:trPr>
          <w:tblHeader w:val="false"/>
        </w:trPr>
        <w:tc>
          <w:tcPr>
            <w:tcW w:type="dxa" w:w="54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Registro y Autenticación de Usuarios</w:t>
            </w:r>
          </w:p>
        </w:tc>
        <w:tc>
          <w:tcPr>
            <w:tcW w:type="dxa" w:w="3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RF-001 a RF-007, RN-001, RN-002, RN-003</w:t>
            </w:r>
          </w:p>
        </w:tc>
      </w:tr>
      <w:tr>
        <w:trPr>
          <w:tblHeader w:val="false"/>
        </w:trPr>
        <w:tc>
          <w:tcPr>
            <w:tcW w:type="dxa" w:w="547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Gestión de Perfiles de Usuario</w:t>
            </w:r>
          </w:p>
        </w:tc>
        <w:tc>
          <w:tcPr>
            <w:tcW w:type="dxa" w:w="388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RF-008, RF-009, RF-010</w:t>
            </w:r>
          </w:p>
        </w:tc>
      </w:tr>
      <w:tr>
        <w:trPr>
          <w:tblHeader w:val="false"/>
        </w:trPr>
        <w:tc>
          <w:tcPr>
            <w:tcW w:type="dxa" w:w="54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Visualización de Catálogo de Productos</w:t>
            </w:r>
          </w:p>
        </w:tc>
        <w:tc>
          <w:tcPr>
            <w:tcW w:type="dxa" w:w="3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RF-011 a RF-016</w:t>
            </w:r>
          </w:p>
        </w:tc>
      </w:tr>
      <w:tr>
        <w:trPr>
          <w:tblHeader w:val="false"/>
        </w:trPr>
        <w:tc>
          <w:tcPr>
            <w:tcW w:type="dxa" w:w="547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Funcionalidad del Carrito de Compras</w:t>
            </w:r>
          </w:p>
        </w:tc>
        <w:tc>
          <w:tcPr>
            <w:tcW w:type="dxa" w:w="388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RF-017 a RF-021</w:t>
            </w:r>
          </w:p>
        </w:tc>
      </w:tr>
      <w:tr>
        <w:trPr>
          <w:tblHeader w:val="false"/>
        </w:trPr>
        <w:tc>
          <w:tcPr>
            <w:tcW w:type="dxa" w:w="54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Procesamiento y Seguimiento de Pedidos</w:t>
            </w:r>
          </w:p>
        </w:tc>
        <w:tc>
          <w:tcPr>
            <w:tcW w:type="dxa" w:w="3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RF-022 a RF-025</w:t>
            </w:r>
          </w:p>
        </w:tc>
      </w:tr>
      <w:tr>
        <w:trPr>
          <w:tblHeader w:val="false"/>
        </w:trPr>
        <w:tc>
          <w:tcPr>
            <w:tcW w:type="dxa" w:w="547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Gestión de Envíos</w:t>
            </w:r>
          </w:p>
        </w:tc>
        <w:tc>
          <w:tcPr>
            <w:tcW w:type="dxa" w:w="388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RF-026, RF-027, RF-028</w:t>
            </w:r>
          </w:p>
        </w:tc>
      </w:tr>
      <w:tr>
        <w:trPr>
          <w:tblHeader w:val="false"/>
        </w:trPr>
        <w:tc>
          <w:tcPr>
            <w:tcW w:type="dxa" w:w="54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Promoción de Productos / Integración con Redes Sociales</w:t>
            </w:r>
          </w:p>
        </w:tc>
        <w:tc>
          <w:tcPr>
            <w:tcW w:type="dxa" w:w="3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RF-029</w:t>
            </w:r>
          </w:p>
        </w:tc>
      </w:tr>
      <w:tr>
        <w:trPr>
          <w:tblHeader w:val="false"/>
        </w:trPr>
        <w:tc>
          <w:tcPr>
            <w:tcW w:type="dxa" w:w="547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Búsqueda Avanzada</w:t>
            </w:r>
          </w:p>
        </w:tc>
        <w:tc>
          <w:tcPr>
            <w:tcW w:type="dxa" w:w="388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RF-030</w:t>
            </w:r>
          </w:p>
        </w:tc>
      </w:tr>
      <w:tr>
        <w:trPr>
          <w:tblHeader w:val="false"/>
        </w:trPr>
        <w:tc>
          <w:tcPr>
            <w:tcW w:type="dxa" w:w="54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Contenido Educativo y de Comunidad</w:t>
            </w:r>
          </w:p>
        </w:tc>
        <w:tc>
          <w:tcPr>
            <w:tcW w:type="dxa" w:w="3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RF-031</w:t>
            </w:r>
          </w:p>
        </w:tc>
      </w:tr>
      <w:tr>
        <w:trPr>
          <w:tblHeader w:val="false"/>
        </w:trPr>
        <w:tc>
          <w:tcPr>
            <w:tcW w:type="dxa" w:w="547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Recomendaciones personalizadas</w:t>
            </w:r>
          </w:p>
        </w:tc>
        <w:tc>
          <w:tcPr>
            <w:tcW w:type="dxa" w:w="388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RF-032</w:t>
            </w:r>
          </w:p>
        </w:tc>
      </w:tr>
      <w:tr>
        <w:trPr>
          <w:tblHeader w:val="false"/>
        </w:trPr>
        <w:tc>
          <w:tcPr>
            <w:tcW w:type="dxa" w:w="54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Origen de productos</w:t>
            </w:r>
          </w:p>
        </w:tc>
        <w:tc>
          <w:tcPr>
            <w:tcW w:type="dxa" w:w="3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RF-033</w:t>
            </w:r>
          </w:p>
        </w:tc>
      </w:tr>
      <w:tr>
        <w:trPr>
          <w:tblHeader w:val="false"/>
        </w:trPr>
        <w:tc>
          <w:tcPr>
            <w:tcW w:type="dxa" w:w="547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Sección de Impacto Comunitario</w:t>
            </w:r>
          </w:p>
        </w:tc>
        <w:tc>
          <w:tcPr>
            <w:tcW w:type="dxa" w:w="388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RF-034</w:t>
            </w:r>
          </w:p>
        </w:tc>
      </w:tr>
      <w:tr>
        <w:trPr>
          <w:tblHeader w:val="false"/>
        </w:trPr>
        <w:tc>
          <w:tcPr>
            <w:tcW w:type="dxa" w:w="54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Diseño Atractivo e Intuitivo</w:t>
            </w:r>
          </w:p>
        </w:tc>
        <w:tc>
          <w:tcPr>
            <w:tcW w:type="dxa" w:w="3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RNF-001, RNF-002, RD-001 a RD-008</w:t>
            </w:r>
          </w:p>
        </w:tc>
      </w:tr>
      <w:tr>
        <w:trPr>
          <w:tblHeader w:val="false"/>
        </w:trPr>
        <w:tc>
          <w:tcPr>
            <w:tcW w:type="dxa" w:w="547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Objetivo "experiencia moderna y accesible"</w:t>
            </w:r>
          </w:p>
        </w:tc>
        <w:tc>
          <w:tcPr>
            <w:tcW w:type="dxa" w:w="388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RNF-004, RNF-005, RNF-011, RNF-012</w:t>
            </w:r>
          </w:p>
        </w:tc>
      </w:tr>
      <w:tr>
        <w:trPr>
          <w:tblHeader w:val="false"/>
        </w:trPr>
        <w:tc>
          <w:tcPr>
            <w:tcW w:type="dxa" w:w="54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 (derivado, no explícito en el caso)</w:t>
            </w:r>
          </w:p>
        </w:tc>
        <w:tc>
          <w:tcPr>
            <w:tcW w:type="dxa" w:w="38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RF-035, RF-036, RNF-007 a RNF-010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9. Asuntos pendientes (PDT)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3414"/>
        <w:gridCol w:w="4020"/>
        <w:gridCol w:w="976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3414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Asunto</w:t>
            </w:r>
          </w:p>
        </w:tc>
        <w:tc>
          <w:tcPr>
            <w:tcW w:type="dxa" w:w="402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Impacto</w:t>
            </w:r>
          </w:p>
        </w:tc>
        <w:tc>
          <w:tcPr>
            <w:tcW w:type="dxa" w:w="976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PDT-01</w:t>
            </w:r>
          </w:p>
        </w:tc>
        <w:tc>
          <w:tcPr>
            <w:tcW w:type="dxa" w:w="34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¿Los descuentos RN-001 y RN-002 se acumulan?</w:t>
            </w:r>
          </w:p>
        </w:tc>
        <w:tc>
          <w:tcPr>
            <w:tcW w:type="dxa" w:w="40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Alto — afecta RF-016 y RF-020</w:t>
            </w:r>
          </w:p>
        </w:tc>
        <w:tc>
          <w:tcPr>
            <w:tcW w:type="dxa" w:w="9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Docente / Cliente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PDT-02</w:t>
            </w:r>
          </w:p>
        </w:tc>
        <w:tc>
          <w:tcPr>
            <w:tcW w:type="dxa" w:w="34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Alcance exacto del beneficio de torta gratis de cumpleaños</w:t>
            </w:r>
          </w:p>
        </w:tc>
        <w:tc>
          <w:tcPr>
            <w:tcW w:type="dxa" w:w="402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Medio — afecta RF-006</w:t>
            </w:r>
          </w:p>
        </w:tc>
        <w:tc>
          <w:tcPr>
            <w:tcW w:type="dxa" w:w="976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Docente / Cliente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PDT-03</w:t>
            </w:r>
          </w:p>
        </w:tc>
        <w:tc>
          <w:tcPr>
            <w:tcW w:type="dxa" w:w="34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Tratamiento del IVA en los precios publicados</w:t>
            </w:r>
          </w:p>
        </w:tc>
        <w:tc>
          <w:tcPr>
            <w:tcW w:type="dxa" w:w="40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Medio — afecta RF-020, RF-023</w:t>
            </w:r>
          </w:p>
        </w:tc>
        <w:tc>
          <w:tcPr>
            <w:tcW w:type="dxa" w:w="9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Docente / Cliente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PDT-04</w:t>
            </w:r>
          </w:p>
        </w:tc>
        <w:tc>
          <w:tcPr>
            <w:tcW w:type="dxa" w:w="34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Longitud máxima del mensaje personalizado</w:t>
            </w:r>
          </w:p>
        </w:tc>
        <w:tc>
          <w:tcPr>
            <w:tcW w:type="dxa" w:w="402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Bajo — afecta RF-015</w:t>
            </w:r>
          </w:p>
        </w:tc>
        <w:tc>
          <w:tcPr>
            <w:tcW w:type="dxa" w:w="976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Equipo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PDT-05</w:t>
            </w:r>
          </w:p>
        </w:tc>
        <w:tc>
          <w:tcPr>
            <w:tcW w:type="dxa" w:w="34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Plazo mínimo de preparación para la fecha de entrega</w:t>
            </w:r>
          </w:p>
        </w:tc>
        <w:tc>
          <w:tcPr>
            <w:tcW w:type="dxa" w:w="40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Bajo — afecta RF-027</w:t>
            </w:r>
          </w:p>
        </w:tc>
        <w:tc>
          <w:tcPr>
            <w:tcW w:type="dxa" w:w="9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Cliente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PDT-06</w:t>
            </w:r>
          </w:p>
        </w:tc>
        <w:tc>
          <w:tcPr>
            <w:tcW w:type="dxa" w:w="34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Tamaños disponibles por torta y su efecto en el precio</w:t>
            </w:r>
          </w:p>
        </w:tc>
        <w:tc>
          <w:tcPr>
            <w:tcW w:type="dxa" w:w="402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Alto — afecta RF-013 y todo el cálculo de totales</w:t>
            </w:r>
          </w:p>
        </w:tc>
        <w:tc>
          <w:tcPr>
            <w:tcW w:type="dxa" w:w="976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Cliente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PDT-07</w:t>
            </w:r>
          </w:p>
        </w:tc>
        <w:tc>
          <w:tcPr>
            <w:tcW w:type="dxa" w:w="34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Alcance del pago: ¿simulado o pasarela real?</w:t>
            </w:r>
          </w:p>
        </w:tc>
        <w:tc>
          <w:tcPr>
            <w:tcW w:type="dxa" w:w="40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Alto — afecta RF-022</w:t>
            </w:r>
          </w:p>
        </w:tc>
        <w:tc>
          <w:tcPr>
            <w:tcW w:type="dxa" w:w="97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Docente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PDT-08</w:t>
            </w:r>
          </w:p>
        </w:tc>
        <w:tc>
          <w:tcPr>
            <w:tcW w:type="dxa" w:w="34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dice "mayores de 50 años", que literalmente excluye a quien tiene exactamente 50. ¿El umbral 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edad &gt; 50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edad &gt;= 50</w:t>
            </w:r>
            <w:r>
              <w:rPr>
                <w:sz w:val="18"/>
                <w:szCs w:val="18"/>
              </w:rPr>
              <w:t xml:space="preserve">?</w:t>
            </w:r>
          </w:p>
        </w:tc>
        <w:tc>
          <w:tcPr>
            <w:tcW w:type="dxa" w:w="402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Alto — el código promocional se llama FELICES50, lo que sugiere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&gt;= 50</w:t>
            </w:r>
            <w:r>
              <w:rPr>
                <w:sz w:val="18"/>
                <w:szCs w:val="18"/>
              </w:rPr>
              <w:t xml:space="preserve">, pero es una inferencia</w:t>
            </w:r>
          </w:p>
        </w:tc>
        <w:tc>
          <w:tcPr>
            <w:tcW w:type="dxa" w:w="976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10. Criterios de verificación de la ERS (ISO/IEC/IEEE 29148, cláusula 5.2.8)</w:t>
      </w:r>
    </w:p>
    <w:p>
      <w:pPr>
        <w:spacing w:after="140"/>
        <w:jc w:val="both"/>
      </w:pPr>
      <w:r>
        <w:rPr>
          <w:sz w:val="21"/>
          <w:szCs w:val="21"/>
        </w:rPr>
        <w:t xml:space="preserve">Esta especificación se considera aceptable cuando cumple: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Completitud:</w:t>
      </w:r>
      <w:r>
        <w:rPr>
          <w:sz w:val="21"/>
          <w:szCs w:val="21"/>
        </w:rPr>
        <w:t xml:space="preserve"> todo requisito del enunciado tiene al menos un RF o RNF asociado (ver sección 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Consistencia:</w:t>
      </w:r>
      <w:r>
        <w:rPr>
          <w:sz w:val="21"/>
          <w:szCs w:val="21"/>
        </w:rPr>
        <w:t xml:space="preserve"> no existen requisitos contradictorios entre sí.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No ambigüedad:</w:t>
      </w:r>
      <w:r>
        <w:rPr>
          <w:sz w:val="21"/>
          <w:szCs w:val="21"/>
        </w:rPr>
        <w:t xml:space="preserve"> toda ambigüedad detectada quedó registrada como PDT en lugar de resolverse por supuesto tácito.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Verificabilidad:</w:t>
      </w:r>
      <w:r>
        <w:rPr>
          <w:sz w:val="21"/>
          <w:szCs w:val="21"/>
        </w:rPr>
        <w:t xml:space="preserve"> cada requisito tiene asignado un método de verificación (I/A/D/P).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Trazabilidad:</w:t>
      </w:r>
      <w:r>
        <w:rPr>
          <w:sz w:val="21"/>
          <w:szCs w:val="21"/>
        </w:rPr>
        <w:t xml:space="preserve"> cada requisito puede rastrearse hasta su origen en el documento del caso.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Priorización:</w:t>
      </w:r>
      <w:r>
        <w:rPr>
          <w:sz w:val="21"/>
          <w:szCs w:val="21"/>
        </w:rPr>
        <w:t xml:space="preserve"> cada requisito tiene una prioridad MoSCoW propuesta, pendiente de aprobación del docente para congelar la línea base del alcance.</w:t>
      </w:r>
    </w:p>
    <w:p>
      <w:pPr>
        <w:pStyle w:val="Heading1"/>
        <w:pBdr>
          <w:bottom w:val="single" w:color="C9B8A4" w:sz="6" w:space="4"/>
        </w:pBdr>
        <w:spacing w:after="160" w:before="320"/>
      </w:pPr>
      <w:r>
        <w:rPr>
          <w:b/>
          <w:bCs/>
          <w:color w:val="5D4037"/>
          <w:sz w:val="28"/>
          <w:szCs w:val="28"/>
        </w:rPr>
        <w:t xml:space="preserve">11. Auditoría de procedencia de los requisitos</w:t>
      </w:r>
    </w:p>
    <w:p>
      <w:pPr>
        <w:spacing w:after="140"/>
        <w:jc w:val="both"/>
      </w:pPr>
      <w:r>
        <w:rPr>
          <w:sz w:val="21"/>
          <w:szCs w:val="21"/>
        </w:rPr>
        <w:t xml:space="preserve">Clasificación de cada elemento según su respaldo en el documento del caso (Forma C):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 — Explícito:</w:t>
      </w:r>
      <w:r>
        <w:rPr>
          <w:sz w:val="21"/>
          <w:szCs w:val="21"/>
        </w:rPr>
        <w:t xml:space="preserve"> aparece literalmente en el enunciado, los requerimientos funcionales, los deseos o la propuesta de diseño.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 — Derivado:</w:t>
      </w:r>
      <w:r>
        <w:rPr>
          <w:sz w:val="21"/>
          <w:szCs w:val="21"/>
        </w:rPr>
        <w:t xml:space="preserve"> no aparece literalmente, pero un requisito E no puede funcionar sin él.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 — Propuesto:</w:t>
      </w:r>
      <w:r>
        <w:rPr>
          <w:sz w:val="21"/>
          <w:szCs w:val="21"/>
        </w:rPr>
        <w:t xml:space="preserve"> buena práctica de ingeniería sin respaldo en el caso. </w:t>
      </w:r>
      <w:r>
        <w:rPr>
          <w:b/>
          <w:bCs/>
          <w:sz w:val="21"/>
          <w:szCs w:val="21"/>
        </w:rPr>
        <w:t xml:space="preserve">Debe ser aprobado por el docente o eliminado.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11.1 Requisitos explícitos (E)</w:t>
      </w:r>
    </w:p>
    <w:p>
      <w:pPr>
        <w:spacing w:after="140"/>
        <w:jc w:val="both"/>
      </w:pPr>
      <w:r>
        <w:rPr>
          <w:sz w:val="21"/>
          <w:szCs w:val="21"/>
        </w:rPr>
        <w:t xml:space="preserve">RN-001, RN-002, RN-003</w:t>
      </w:r>
    </w:p>
    <w:p>
      <w:pPr>
        <w:spacing w:after="140"/>
        <w:jc w:val="both"/>
      </w:pPr>
      <w:r>
        <w:rPr>
          <w:sz w:val="21"/>
          <w:szCs w:val="21"/>
        </w:rPr>
        <w:t xml:space="preserve">RF-004, RF-005, RF-006, RF-008, RF-009, RF-011, RF-013, RF-014, RF-015, RF-017, RF-018, RF-019, RF-020, RF-022, RF-023, RF-025, RF-026, RF-028, RF-029, RF-030, RF-031, RF-032, RF-033, RF-034</w:t>
      </w:r>
    </w:p>
    <w:p>
      <w:pPr>
        <w:spacing w:after="140"/>
        <w:jc w:val="both"/>
      </w:pPr>
      <w:r>
        <w:rPr>
          <w:sz w:val="21"/>
          <w:szCs w:val="21"/>
        </w:rPr>
        <w:t xml:space="preserve">RNF-001</w:t>
      </w:r>
    </w:p>
    <w:p>
      <w:pPr>
        <w:spacing w:after="140"/>
        <w:jc w:val="both"/>
      </w:pPr>
      <w:r>
        <w:rPr>
          <w:sz w:val="21"/>
          <w:szCs w:val="21"/>
        </w:rPr>
        <w:t xml:space="preserve">RD-001 a RD-008</w:t>
      </w:r>
    </w:p>
    <w:p>
      <w:pPr>
        <w:spacing w:after="140"/>
        <w:jc w:val="both"/>
      </w:pPr>
      <w:r>
        <w:rPr>
          <w:sz w:val="21"/>
          <w:szCs w:val="21"/>
        </w:rPr>
        <w:t xml:space="preserve">Sección 7 (catálogo completo: 16 productos, códigos, categorías y precios verificados uno a uno contra la tabla original)</w:t>
      </w: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11.2 Requisitos derivados (D)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1014"/>
        <w:gridCol w:w="4173"/>
        <w:gridCol w:w="4173"/>
      </w:tblGrid>
      <w:tr>
        <w:trPr>
          <w:tblHeader/>
        </w:trPr>
        <w:tc>
          <w:tcPr>
            <w:tcW w:type="dxa" w:w="1014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4173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Qué se añadió</w:t>
            </w:r>
          </w:p>
        </w:tc>
        <w:tc>
          <w:tcPr>
            <w:tcW w:type="dxa" w:w="4173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Justificación de la derivación</w:t>
            </w:r>
          </w:p>
        </w:tc>
      </w:tr>
      <w:tr>
        <w:trPr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RF-001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 campos "nombre completo" y "contraseña"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pide un sistema de registro pero no enumera los campos. Fecha de nacimiento y correo sí son exigibles (RN-001 y RN-003 dependen de ellos).</w:t>
            </w:r>
          </w:p>
        </w:tc>
      </w:tr>
      <w:tr>
        <w:trPr>
          <w:tblHeader w:val="false"/>
        </w:trPr>
        <w:tc>
          <w:tcPr>
            <w:tcW w:type="dxa" w:w="10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RF-002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Validación de formato y unicidad del correo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 unicidad, RN-002 y RN-003 son explotables por registro repetido.</w:t>
            </w:r>
          </w:p>
        </w:tc>
      </w:tr>
      <w:tr>
        <w:trPr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RF-003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Inicio y cierre de sesión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 sección del caso se titula "Registro y </w:t>
            </w:r>
            <w:r>
              <w:rPr>
                <w:sz w:val="18"/>
                <w:szCs w:val="18"/>
              </w:rPr>
              <w:t xml:space="preserve">Autenticación</w:t>
            </w:r>
            <w:r>
              <w:rPr>
                <w:sz w:val="18"/>
                <w:szCs w:val="18"/>
              </w:rPr>
              <w:t xml:space="preserve">".</w:t>
            </w:r>
          </w:p>
        </w:tc>
      </w:tr>
      <w:tr>
        <w:trPr>
          <w:tblHeader w:val="false"/>
        </w:trPr>
        <w:tc>
          <w:tcPr>
            <w:tcW w:type="dxa" w:w="10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RF-010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Historial de pedidos visible para el usuario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pide recomendaciones "basadas en el historial de compras", lo que obliga a persistirlo. Mostrarlo es la inferencia.</w:t>
            </w:r>
          </w:p>
        </w:tc>
      </w:tr>
      <w:tr>
        <w:trPr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RF-012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Campo "imagen" del producto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no menciona imágenes en ninguna parte. Se deriva del "diseño atractivo", pero es la derivación más débil de la lista.</w:t>
            </w:r>
          </w:p>
        </w:tc>
      </w:tr>
      <w:tr>
        <w:trPr>
          <w:tblHeader w:val="false"/>
        </w:trPr>
        <w:tc>
          <w:tcPr>
            <w:tcW w:type="dxa" w:w="10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RF-016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Mostrar precio original y precio con descuento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pide "precios detallados"; separar ambos valores es interpretación.</w:t>
            </w:r>
          </w:p>
        </w:tc>
      </w:tr>
      <w:tr>
        <w:trPr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RF-024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 cuatro estados concretos (Recibido, En preparación, Despachado, Entregado)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solo dice "desde la preparación hasta la entrega". Los estados intermedios son propuesta.</w:t>
            </w:r>
          </w:p>
        </w:tc>
      </w:tr>
      <w:tr>
        <w:trPr>
          <w:tblHeader w:val="false"/>
        </w:trPr>
        <w:tc>
          <w:tcPr>
            <w:tcW w:type="dxa" w:w="10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RF-035, RF-036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Módulo de administración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catálogo y los estados de pedido no pueden mantenerse sin él. Ya venía marcado como derivado en la sección 4.8.</w:t>
            </w:r>
          </w:p>
        </w:tc>
      </w:tr>
      <w:tr>
        <w:trPr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RNF-004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umbral WCAG de 4.5:1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Deriva de "accesible" (enunciado); el valor numérico y la norma los aporté yo.</w:t>
            </w:r>
          </w:p>
        </w:tc>
      </w:tr>
      <w:tr>
        <w:trPr>
          <w:tblHeader w:val="false"/>
        </w:trPr>
        <w:tc>
          <w:tcPr>
            <w:tcW w:type="dxa" w:w="101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RNF-007 a RNF-010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Bloque completo de seguridad y Ley 19.628</w:t>
            </w:r>
          </w:p>
        </w:tc>
        <w:tc>
          <w:tcPr>
            <w:tcW w:type="dxa" w:w="41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Obligación legal y profesional; el caso no los menciona. Ya venía marcado como derivado en la sección 8.</w:t>
            </w:r>
          </w:p>
        </w:tc>
      </w:tr>
      <w:tr>
        <w:trPr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RNF-012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Diseño responsivo, rango 320–1920 px</w:t>
            </w:r>
          </w:p>
        </w:tc>
        <w:tc>
          <w:tcPr>
            <w:tcW w:type="dxa" w:w="41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Deriva de "accesible"; el rango de resoluciones lo aporté yo.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11.3 Requisitos propuestos sin respaldo (P) — requieren aprobación o eliminación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3773"/>
        <w:gridCol w:w="4637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ID</w:t>
            </w:r>
          </w:p>
        </w:tc>
        <w:tc>
          <w:tcPr>
            <w:tcW w:type="dxa" w:w="3773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Contenido</w:t>
            </w:r>
          </w:p>
        </w:tc>
        <w:tc>
          <w:tcPr>
            <w:tcW w:type="dxa" w:w="4637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Observación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RF-007</w:t>
            </w:r>
          </w:p>
        </w:tc>
        <w:tc>
          <w:tcPr>
            <w:tcW w:type="dxa" w:w="3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Mostrar los beneficios asignados tras el registro</w:t>
            </w:r>
          </w:p>
        </w:tc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Mejora de experiencia. Prescindible.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RF-021</w:t>
            </w:r>
          </w:p>
        </w:tc>
        <w:tc>
          <w:tcPr>
            <w:tcW w:type="dxa" w:w="37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Persistencia del carrito durante la sesión</w:t>
            </w:r>
          </w:p>
        </w:tc>
        <w:tc>
          <w:tcPr>
            <w:tcW w:type="dxa" w:w="463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Práctica estándar, pero no pedida.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RF-027</w:t>
            </w:r>
          </w:p>
        </w:tc>
        <w:tc>
          <w:tcPr>
            <w:tcW w:type="dxa" w:w="3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Plazo mínimo de preparación para la fecha de entrega</w:t>
            </w:r>
          </w:p>
        </w:tc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Restricción de negocio que </w:t>
            </w:r>
            <w:r>
              <w:rPr>
                <w:sz w:val="18"/>
                <w:szCs w:val="18"/>
              </w:rPr>
              <w:t xml:space="preserve">yo introduje</w:t>
            </w:r>
            <w:r>
              <w:rPr>
                <w:sz w:val="18"/>
                <w:szCs w:val="18"/>
              </w:rPr>
              <w:t xml:space="preserve">. La pastelería no la declaró.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RNF-002</w:t>
            </w:r>
          </w:p>
        </w:tc>
        <w:tc>
          <w:tcPr>
            <w:tcW w:type="dxa" w:w="37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Métrica de "máximo 5 pasos"</w:t>
            </w:r>
          </w:p>
        </w:tc>
        <w:tc>
          <w:tcPr>
            <w:tcW w:type="dxa" w:w="463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pide un diseño intuitivo; el número es mío.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RNF-003</w:t>
            </w:r>
          </w:p>
        </w:tc>
        <w:tc>
          <w:tcPr>
            <w:tcW w:type="dxa" w:w="3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Mensajes de error claros</w:t>
            </w:r>
          </w:p>
        </w:tc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Práctica estándar, no pedida.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RNF-005</w:t>
            </w:r>
          </w:p>
        </w:tc>
        <w:tc>
          <w:tcPr>
            <w:tcW w:type="dxa" w:w="37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Carga en 3 s con 10 Mbps</w:t>
            </w:r>
          </w:p>
        </w:tc>
        <w:tc>
          <w:tcPr>
            <w:tcW w:type="dxa" w:w="463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Cifra inventada para hacer verificable "moderna".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RNF-006</w:t>
            </w:r>
          </w:p>
        </w:tc>
        <w:tc>
          <w:tcPr>
            <w:tcW w:type="dxa" w:w="3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 usuarios concurrentes</w:t>
            </w:r>
          </w:p>
        </w:tc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Cifra sin ninguna base en el caso.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RNF-011</w:t>
            </w:r>
          </w:p>
        </w:tc>
        <w:tc>
          <w:tcPr>
            <w:tcW w:type="dxa" w:w="37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Compatibilidad con Chrome, Firefox, Edge y Safari</w:t>
            </w:r>
          </w:p>
        </w:tc>
        <w:tc>
          <w:tcPr>
            <w:tcW w:type="dxa" w:w="463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no nombra navegadores.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RNF-013</w:t>
            </w:r>
          </w:p>
        </w:tc>
        <w:tc>
          <w:tcPr>
            <w:tcW w:type="dxa" w:w="3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duplicar pedidos ante caída de conexión</w:t>
            </w:r>
          </w:p>
        </w:tc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Práctica estándar, no pedida.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RNF-014</w:t>
            </w:r>
          </w:p>
        </w:tc>
        <w:tc>
          <w:tcPr>
            <w:tcW w:type="dxa" w:w="37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Separación en capas</w:t>
            </w:r>
          </w:p>
        </w:tc>
        <w:tc>
          <w:tcPr>
            <w:tcW w:type="dxa" w:w="463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Restricción de arquitectura, probablemente venga de la asignatura y no del caso.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RNF-015</w:t>
            </w:r>
          </w:p>
        </w:tc>
        <w:tc>
          <w:tcPr>
            <w:tcW w:type="dxa" w:w="3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Descuentos parametrizables</w:t>
            </w:r>
          </w:p>
        </w:tc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Propuesta de mantenibilidad.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§2.3</w:t>
            </w:r>
          </w:p>
        </w:tc>
        <w:tc>
          <w:tcPr>
            <w:tcW w:type="dxa" w:w="37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Perfil "Administrador"</w:t>
            </w:r>
          </w:p>
        </w:tc>
        <w:tc>
          <w:tcPr>
            <w:tcW w:type="dxa" w:w="463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Coherente con RF-035/036, pero el caso no menciona ningún rol administrativo.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RF-028</w:t>
            </w:r>
          </w:p>
        </w:tc>
        <w:tc>
          <w:tcPr>
            <w:tcW w:type="dxa" w:w="37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Latencia de 60 s para el seguimiento</w:t>
            </w:r>
          </w:p>
        </w:tc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"tiempo real" es explícito; los 60 segundos son mi operacionalización.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RF-030</w:t>
            </w:r>
          </w:p>
        </w:tc>
        <w:tc>
          <w:tcPr>
            <w:tcW w:type="dxa" w:w="3773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Filtros por rango de precio</w:t>
            </w:r>
          </w:p>
        </w:tc>
        <w:tc>
          <w:tcPr>
            <w:tcW w:type="dxa" w:w="4637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caso pide búsqueda avanzada sin especificar criterios.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11.4 Desviaciones de forma respecto del documento original</w:t>
      </w:r>
    </w:p>
    <w:tbl>
      <w:tblPr>
        <w:tblW w:type="dxa" w:w="9360"/>
        <w:tblBorders>
          <w:top w:val="single" w:color="C9B8A4" w:sz="4"/>
          <w:left w:val="single" w:color="C9B8A4" w:sz="4"/>
          <w:bottom w:val="single" w:color="C9B8A4" w:sz="4"/>
          <w:right w:val="single" w:color="C9B8A4" w:sz="4"/>
          <w:insideH w:val="single" w:color="D8CBBB" w:sz="2"/>
          <w:insideV w:val="single" w:color="D8CBBB" w:sz="2"/>
        </w:tblBorders>
      </w:tblPr>
      <w:tblGrid>
        <w:gridCol w:w="950"/>
        <w:gridCol w:w="1674"/>
        <w:gridCol w:w="1674"/>
        <w:gridCol w:w="5062"/>
      </w:tblGrid>
      <w:tr>
        <w:trPr>
          <w:tblHeader/>
        </w:trPr>
        <w:tc>
          <w:tcPr>
            <w:tcW w:type="dxa" w:w="950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Elemento</w:t>
            </w:r>
          </w:p>
        </w:tc>
        <w:tc>
          <w:tcPr>
            <w:tcW w:type="dxa" w:w="1674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En el caso</w:t>
            </w:r>
          </w:p>
        </w:tc>
        <w:tc>
          <w:tcPr>
            <w:tcW w:type="dxa" w:w="1674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En esta ERS</w:t>
            </w:r>
          </w:p>
        </w:tc>
        <w:tc>
          <w:tcPr>
            <w:tcW w:type="dxa" w:w="5062"/>
            <w:shd w:fill="F2E4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5D4037"/>
                <w:sz w:val="18"/>
                <w:szCs w:val="18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Categoría</w:t>
            </w:r>
          </w:p>
        </w:tc>
        <w:tc>
          <w:tcPr>
            <w:tcW w:type="dxa" w:w="16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"Productos Vegana"</w:t>
            </w:r>
          </w:p>
        </w:tc>
        <w:tc>
          <w:tcPr>
            <w:tcW w:type="dxa" w:w="16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"Productos Veganos"</w:t>
            </w:r>
          </w:p>
        </w:tc>
        <w:tc>
          <w:tcPr>
            <w:tcW w:type="dxa" w:w="50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Corrección de concordancia. Si el docente exige fidelidad literal al enunciado, debe revertirse.</w:t>
            </w:r>
          </w:p>
        </w:tc>
      </w:tr>
      <w:tr>
        <w:trPr>
          <w:tblHeader w:val="false"/>
        </w:trPr>
        <w:tc>
          <w:tcPr>
            <w:tcW w:type="dxa" w:w="950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Categoría</w:t>
            </w:r>
          </w:p>
        </w:tc>
        <w:tc>
          <w:tcPr>
            <w:tcW w:type="dxa" w:w="167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"Productos sin gluten"</w:t>
            </w:r>
          </w:p>
        </w:tc>
        <w:tc>
          <w:tcPr>
            <w:tcW w:type="dxa" w:w="1674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"Productos Sin Gluten"</w:t>
            </w:r>
          </w:p>
        </w:tc>
        <w:tc>
          <w:tcPr>
            <w:tcW w:type="dxa" w:w="5062"/>
            <w:shd w:fill="FB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Normalización de mayúsculas.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5D4037"/>
          <w:sz w:val="24"/>
          <w:szCs w:val="24"/>
        </w:rPr>
        <w:t xml:space="preserve">11.5 Verificación de datos</w:t>
      </w:r>
    </w:p>
    <w:p>
      <w:pPr>
        <w:spacing w:after="140"/>
        <w:jc w:val="both"/>
      </w:pPr>
      <w:r>
        <w:rPr>
          <w:sz w:val="21"/>
          <w:szCs w:val="21"/>
        </w:rPr>
        <w:t xml:space="preserve">Se contrastaron uno a uno los 16 productos de la sección 7 contra la tabla del documento original: códigos, categorías, nombres y precios coinciden sin excepción. Las 8 categorías coinciden. Los 5 códigos de color y las 2 tipografías coinciden con la Propuesta de Diseño Visual.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7A6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8A4" w:sz="4" w:space="4"/>
      </w:pBdr>
      <w:jc w:val="right"/>
    </w:pPr>
    <w:r>
      <w:rPr>
        <w:color w:val="8A7A6A"/>
        <w:sz w:val="16"/>
        <w:szCs w:val="16"/>
      </w:rPr>
      <w:t xml:space="preserve">ERS – Pastelería 1000 Sabores · DSY1104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- Pasteleria 1000 Sabores</dc:title>
  <dc:creator>Equipo de desarrollo DSY1104</dc:creator>
  <dc:description>Especificacion de Requisitos de Software segun ISO/IEC/IEEE 29148:2018</dc:description>
  <cp:lastModifiedBy>Un-named</cp:lastModifiedBy>
  <cp:revision>1</cp:revision>
  <dcterms:created xsi:type="dcterms:W3CDTF">2026-09-09T12:12:15.081Z</dcterms:created>
  <dcterms:modified xsi:type="dcterms:W3CDTF">2026-09-09T12:12:15.081Z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