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2629FA" w:rsidRPr="002629F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2629FA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2629FA" w:rsidRPr="002629F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Кран шаровой (нагрузка от запирающего элеме</w:t>
      </w:r>
      <w:r w:rsidR="002629FA" w:rsidRPr="002629FA">
        <w:rPr>
          <w:rFonts w:ascii="Times New Roman" w:hAnsi="Times New Roman" w:cs="Times New Roman"/>
          <w:b/>
          <w:color w:val="C00000"/>
          <w:sz w:val="32"/>
          <w:szCs w:val="32"/>
        </w:rPr>
        <w:t>н</w:t>
      </w:r>
      <w:r w:rsidR="002629FA" w:rsidRPr="002629FA">
        <w:rPr>
          <w:rFonts w:ascii="Times New Roman" w:hAnsi="Times New Roman" w:cs="Times New Roman"/>
          <w:b/>
          <w:color w:val="C00000"/>
          <w:sz w:val="32"/>
          <w:szCs w:val="32"/>
        </w:rPr>
        <w:t>та)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7C40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5CCA" w:rsidRDefault="004A500B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500B">
        <w:rPr>
          <w:noProof/>
          <w:lang w:eastAsia="ru-RU"/>
        </w:rPr>
        <w:t xml:space="preserve"> </w:t>
      </w:r>
      <w:r w:rsidR="002629FA" w:rsidRPr="002629FA">
        <w:rPr>
          <w:noProof/>
          <w:lang w:eastAsia="ru-RU"/>
        </w:rPr>
        <w:t xml:space="preserve"> </w:t>
      </w:r>
      <w:r w:rsidR="002629FA">
        <w:rPr>
          <w:noProof/>
          <w:lang w:eastAsia="ru-RU"/>
        </w:rPr>
        <w:drawing>
          <wp:inline distT="0" distB="0" distL="0" distR="0" wp14:anchorId="1525D600" wp14:editId="03C4F539">
            <wp:extent cx="1187532" cy="1150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8638" cy="11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C42AC2" w:rsidRDefault="00C42AC2" w:rsidP="007C409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Pr="005478D6" w:rsidRDefault="00D0761E" w:rsidP="005478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832CF" w:rsidRPr="005478D6" w:rsidRDefault="00D53D8E" w:rsidP="005478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53D8E">
        <w:rPr>
          <w:rFonts w:ascii="Times New Roman" w:eastAsia="Calibri" w:hAnsi="Times New Roman" w:cs="Times New Roman"/>
          <w:sz w:val="28"/>
          <w:szCs w:val="28"/>
        </w:rPr>
        <w:t>Блок моделирует нагрузку от запирающего элемента на приводе крана, завис</w:t>
      </w:r>
      <w:r w:rsidRPr="00D53D8E">
        <w:rPr>
          <w:rFonts w:ascii="Times New Roman" w:eastAsia="Calibri" w:hAnsi="Times New Roman" w:cs="Times New Roman"/>
          <w:sz w:val="28"/>
          <w:szCs w:val="28"/>
        </w:rPr>
        <w:t>я</w:t>
      </w:r>
      <w:r w:rsidRPr="00D53D8E">
        <w:rPr>
          <w:rFonts w:ascii="Times New Roman" w:eastAsia="Calibri" w:hAnsi="Times New Roman" w:cs="Times New Roman"/>
          <w:sz w:val="28"/>
          <w:szCs w:val="28"/>
        </w:rPr>
        <w:t>щую от угла поворота запирающего элемента.</w:t>
      </w:r>
    </w:p>
    <w:p w:rsidR="00446F20" w:rsidRPr="005478D6" w:rsidRDefault="00446F20" w:rsidP="005478D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6F20" w:rsidRPr="00C95364" w:rsidRDefault="00446F20" w:rsidP="00446F2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C95364">
        <w:rPr>
          <w:rFonts w:ascii="Times New Roman" w:hAnsi="Times New Roman" w:cs="Times New Roman"/>
          <w:b/>
          <w:sz w:val="28"/>
          <w:szCs w:val="28"/>
        </w:rPr>
        <w:t>в. Свойства блока</w:t>
      </w:r>
    </w:p>
    <w:p w:rsidR="00446F20" w:rsidRPr="007D44F4" w:rsidRDefault="00446F20" w:rsidP="00446F2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7D44F4">
        <w:rPr>
          <w:rFonts w:ascii="Times New Roman" w:hAnsi="Times New Roman" w:cs="Times New Roman"/>
          <w:sz w:val="24"/>
          <w:szCs w:val="28"/>
        </w:rPr>
        <w:tab/>
        <w:t xml:space="preserve"> </w:t>
      </w:r>
    </w:p>
    <w:tbl>
      <w:tblPr>
        <w:tblStyle w:val="a3"/>
        <w:tblW w:w="9087" w:type="dxa"/>
        <w:jc w:val="center"/>
        <w:tblLook w:val="04A0" w:firstRow="1" w:lastRow="0" w:firstColumn="1" w:lastColumn="0" w:noHBand="0" w:noVBand="1"/>
      </w:tblPr>
      <w:tblGrid>
        <w:gridCol w:w="5986"/>
        <w:gridCol w:w="1358"/>
        <w:gridCol w:w="1743"/>
      </w:tblGrid>
      <w:tr w:rsidR="00446F20" w:rsidRPr="00D0761E" w:rsidTr="00D53D8E">
        <w:trPr>
          <w:cantSplit/>
          <w:tblHeader/>
          <w:jc w:val="center"/>
        </w:trPr>
        <w:tc>
          <w:tcPr>
            <w:tcW w:w="5986" w:type="dxa"/>
          </w:tcPr>
          <w:p w:rsidR="00446F20" w:rsidRPr="00D0761E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358" w:type="dxa"/>
          </w:tcPr>
          <w:p w:rsidR="00446F20" w:rsidRPr="00D0761E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446F20" w:rsidRPr="00D0761E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53D8E" w:rsidRPr="00D0761E" w:rsidTr="00D53D8E">
        <w:trPr>
          <w:cantSplit/>
          <w:jc w:val="center"/>
        </w:trPr>
        <w:tc>
          <w:tcPr>
            <w:tcW w:w="5986" w:type="dxa"/>
          </w:tcPr>
          <w:p w:rsidR="00D53D8E" w:rsidRPr="00D0761E" w:rsidRDefault="00D53D8E" w:rsidP="00D53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1D0">
              <w:rPr>
                <w:rFonts w:ascii="Times New Roman" w:eastAsia="Calibri" w:hAnsi="Times New Roman" w:cs="Times New Roman"/>
                <w:sz w:val="24"/>
              </w:rPr>
              <w:t>Начальный угол поворота запирающего эл</w:t>
            </w:r>
            <w:r w:rsidRPr="003651D0">
              <w:rPr>
                <w:rFonts w:ascii="Times New Roman" w:eastAsia="Calibri" w:hAnsi="Times New Roman" w:cs="Times New Roman"/>
                <w:sz w:val="24"/>
              </w:rPr>
              <w:t>е</w:t>
            </w:r>
            <w:r>
              <w:rPr>
                <w:rFonts w:ascii="Times New Roman" w:eastAsia="Calibri" w:hAnsi="Times New Roman" w:cs="Times New Roman"/>
                <w:sz w:val="24"/>
              </w:rPr>
              <w:t>мента</w:t>
            </w:r>
          </w:p>
        </w:tc>
        <w:tc>
          <w:tcPr>
            <w:tcW w:w="1358" w:type="dxa"/>
            <w:vAlign w:val="center"/>
          </w:tcPr>
          <w:p w:rsidR="00D53D8E" w:rsidRPr="007D44F4" w:rsidRDefault="00D53D8E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градус</w:t>
            </w:r>
          </w:p>
        </w:tc>
        <w:tc>
          <w:tcPr>
            <w:tcW w:w="1743" w:type="dxa"/>
            <w:vAlign w:val="center"/>
          </w:tcPr>
          <w:p w:rsidR="00D53D8E" w:rsidRPr="007673B1" w:rsidRDefault="00D53D8E" w:rsidP="00D53D8E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3651D0">
              <w:rPr>
                <w:rFonts w:ascii="Times New Roman" w:eastAsia="Calibri" w:hAnsi="Times New Roman" w:cs="Times New Roman"/>
                <w:sz w:val="24"/>
                <w:lang w:val="en-US"/>
              </w:rPr>
              <w:t>fi_ball_0</w:t>
            </w:r>
          </w:p>
        </w:tc>
      </w:tr>
      <w:tr w:rsidR="00D53D8E" w:rsidRPr="00D0761E" w:rsidTr="00D53D8E">
        <w:trPr>
          <w:cantSplit/>
          <w:jc w:val="center"/>
        </w:trPr>
        <w:tc>
          <w:tcPr>
            <w:tcW w:w="5986" w:type="dxa"/>
          </w:tcPr>
          <w:p w:rsidR="00D53D8E" w:rsidRDefault="00D53D8E" w:rsidP="00D53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Вектор значений угла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поворота запирающего элемента</w:t>
            </w:r>
          </w:p>
        </w:tc>
        <w:tc>
          <w:tcPr>
            <w:tcW w:w="1358" w:type="dxa"/>
            <w:vAlign w:val="center"/>
          </w:tcPr>
          <w:p w:rsidR="00D53D8E" w:rsidRDefault="00D53D8E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градус</w:t>
            </w:r>
          </w:p>
        </w:tc>
        <w:tc>
          <w:tcPr>
            <w:tcW w:w="1743" w:type="dxa"/>
            <w:vAlign w:val="center"/>
          </w:tcPr>
          <w:p w:rsidR="00D53D8E" w:rsidRPr="003651D0" w:rsidRDefault="00D53D8E" w:rsidP="00D53D8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fi_ball_vec</w:t>
            </w:r>
            <w:proofErr w:type="spellEnd"/>
          </w:p>
        </w:tc>
      </w:tr>
      <w:tr w:rsidR="00D53D8E" w:rsidRPr="00D0761E" w:rsidTr="00D53D8E">
        <w:trPr>
          <w:cantSplit/>
          <w:jc w:val="center"/>
        </w:trPr>
        <w:tc>
          <w:tcPr>
            <w:tcW w:w="5986" w:type="dxa"/>
          </w:tcPr>
          <w:p w:rsidR="00D53D8E" w:rsidRPr="00D0761E" w:rsidRDefault="00D53D8E" w:rsidP="00D53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Вектор значений противодействующего м</w:t>
            </w:r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мента</w:t>
            </w:r>
          </w:p>
        </w:tc>
        <w:tc>
          <w:tcPr>
            <w:tcW w:w="1358" w:type="dxa"/>
            <w:vAlign w:val="center"/>
          </w:tcPr>
          <w:p w:rsidR="00D53D8E" w:rsidRPr="007D44F4" w:rsidRDefault="00D53D8E" w:rsidP="007F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Н∙</w:t>
            </w:r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proofErr w:type="spellEnd"/>
          </w:p>
        </w:tc>
        <w:tc>
          <w:tcPr>
            <w:tcW w:w="1743" w:type="dxa"/>
            <w:vAlign w:val="center"/>
          </w:tcPr>
          <w:p w:rsidR="00D53D8E" w:rsidRPr="003651D0" w:rsidRDefault="00D53D8E" w:rsidP="00D53D8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M_ball_vec</w:t>
            </w:r>
            <w:proofErr w:type="spellEnd"/>
          </w:p>
        </w:tc>
      </w:tr>
      <w:tr w:rsidR="00D53D8E" w:rsidRPr="00D0761E" w:rsidTr="00D53D8E">
        <w:trPr>
          <w:cantSplit/>
          <w:jc w:val="center"/>
        </w:trPr>
        <w:tc>
          <w:tcPr>
            <w:tcW w:w="5986" w:type="dxa"/>
          </w:tcPr>
          <w:p w:rsidR="00D53D8E" w:rsidRDefault="00D53D8E" w:rsidP="00D53D8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Кинем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атический коэффициент передачи</w:t>
            </w:r>
          </w:p>
        </w:tc>
        <w:tc>
          <w:tcPr>
            <w:tcW w:w="1358" w:type="dxa"/>
            <w:vAlign w:val="center"/>
          </w:tcPr>
          <w:p w:rsidR="00D53D8E" w:rsidRDefault="00D53D8E" w:rsidP="007F0F2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proofErr w:type="gramEnd"/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/град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ус</w:t>
            </w:r>
          </w:p>
        </w:tc>
        <w:tc>
          <w:tcPr>
            <w:tcW w:w="1743" w:type="dxa"/>
            <w:vAlign w:val="center"/>
          </w:tcPr>
          <w:p w:rsidR="00D53D8E" w:rsidRPr="003651D0" w:rsidRDefault="00D53D8E" w:rsidP="00D53D8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k_transf_v</w:t>
            </w:r>
            <w:proofErr w:type="spellEnd"/>
          </w:p>
        </w:tc>
      </w:tr>
      <w:tr w:rsidR="00D53D8E" w:rsidRPr="00D0761E" w:rsidTr="00D53D8E">
        <w:trPr>
          <w:cantSplit/>
          <w:jc w:val="center"/>
        </w:trPr>
        <w:tc>
          <w:tcPr>
            <w:tcW w:w="5986" w:type="dxa"/>
          </w:tcPr>
          <w:p w:rsidR="00D53D8E" w:rsidRDefault="00D53D8E" w:rsidP="00D53D8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Силовой коэффициент передачи</w:t>
            </w:r>
          </w:p>
        </w:tc>
        <w:tc>
          <w:tcPr>
            <w:tcW w:w="1358" w:type="dxa"/>
            <w:vAlign w:val="center"/>
          </w:tcPr>
          <w:p w:rsidR="00D53D8E" w:rsidRDefault="00D53D8E" w:rsidP="007F0F2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Н/(Н*м)</w:t>
            </w:r>
          </w:p>
        </w:tc>
        <w:tc>
          <w:tcPr>
            <w:tcW w:w="1743" w:type="dxa"/>
            <w:vAlign w:val="center"/>
          </w:tcPr>
          <w:p w:rsidR="00D53D8E" w:rsidRPr="003651D0" w:rsidRDefault="00D53D8E" w:rsidP="00D53D8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k_transf_f</w:t>
            </w:r>
            <w:proofErr w:type="spellEnd"/>
          </w:p>
        </w:tc>
      </w:tr>
    </w:tbl>
    <w:p w:rsidR="00446F20" w:rsidRDefault="00446F20" w:rsidP="00446F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C4ACF" w:rsidRPr="00EC4ACF" w:rsidRDefault="00EC4ACF" w:rsidP="00EC4A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4ACF">
        <w:rPr>
          <w:rFonts w:ascii="Times New Roman" w:hAnsi="Times New Roman" w:cs="Times New Roman"/>
          <w:sz w:val="28"/>
          <w:szCs w:val="28"/>
        </w:rPr>
        <w:t>Свойства «Вектор значений угла поворота запирающего элемента» и «Вектор значений противодействующего момента» определяют зависимость нагрузки (пр</w:t>
      </w:r>
      <w:r w:rsidRPr="00EC4ACF">
        <w:rPr>
          <w:rFonts w:ascii="Times New Roman" w:hAnsi="Times New Roman" w:cs="Times New Roman"/>
          <w:sz w:val="28"/>
          <w:szCs w:val="28"/>
        </w:rPr>
        <w:t>о</w:t>
      </w:r>
      <w:r w:rsidRPr="00EC4ACF">
        <w:rPr>
          <w:rFonts w:ascii="Times New Roman" w:hAnsi="Times New Roman" w:cs="Times New Roman"/>
          <w:sz w:val="28"/>
          <w:szCs w:val="28"/>
        </w:rPr>
        <w:t>тиводействующего момента) от запирающего элемента на приводе крана от угла п</w:t>
      </w:r>
      <w:r w:rsidRPr="00EC4ACF">
        <w:rPr>
          <w:rFonts w:ascii="Times New Roman" w:hAnsi="Times New Roman" w:cs="Times New Roman"/>
          <w:sz w:val="28"/>
          <w:szCs w:val="28"/>
        </w:rPr>
        <w:t>о</w:t>
      </w:r>
      <w:r w:rsidRPr="00EC4ACF">
        <w:rPr>
          <w:rFonts w:ascii="Times New Roman" w:hAnsi="Times New Roman" w:cs="Times New Roman"/>
          <w:sz w:val="28"/>
          <w:szCs w:val="28"/>
        </w:rPr>
        <w:t>ворота запирающего элемента.</w:t>
      </w:r>
    </w:p>
    <w:p w:rsidR="00EC4ACF" w:rsidRPr="00EC4ACF" w:rsidRDefault="00EC4ACF" w:rsidP="00EC4A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4ACF">
        <w:rPr>
          <w:rFonts w:ascii="Times New Roman" w:hAnsi="Times New Roman" w:cs="Times New Roman"/>
          <w:sz w:val="28"/>
          <w:szCs w:val="28"/>
        </w:rPr>
        <w:t>Свойство «Кинематический коэффициент передачи» определяет, какое прир</w:t>
      </w:r>
      <w:r w:rsidRPr="00EC4ACF">
        <w:rPr>
          <w:rFonts w:ascii="Times New Roman" w:hAnsi="Times New Roman" w:cs="Times New Roman"/>
          <w:sz w:val="28"/>
          <w:szCs w:val="28"/>
        </w:rPr>
        <w:t>а</w:t>
      </w:r>
      <w:r w:rsidRPr="00EC4ACF">
        <w:rPr>
          <w:rFonts w:ascii="Times New Roman" w:hAnsi="Times New Roman" w:cs="Times New Roman"/>
          <w:sz w:val="28"/>
          <w:szCs w:val="28"/>
        </w:rPr>
        <w:t>щение перемещения (в метрах) привода крана соответствует повороту запирающего элемента на 1 градус.</w:t>
      </w:r>
    </w:p>
    <w:p w:rsidR="00C93929" w:rsidRPr="00C93929" w:rsidRDefault="00EC4ACF" w:rsidP="00EC4AC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C4ACF">
        <w:rPr>
          <w:rFonts w:ascii="Times New Roman" w:hAnsi="Times New Roman" w:cs="Times New Roman"/>
          <w:sz w:val="28"/>
          <w:szCs w:val="28"/>
        </w:rPr>
        <w:t>Свойство «Силовой коэффициент передачи» определяет, какая сила (в Ньют</w:t>
      </w:r>
      <w:r w:rsidRPr="00EC4ACF">
        <w:rPr>
          <w:rFonts w:ascii="Times New Roman" w:hAnsi="Times New Roman" w:cs="Times New Roman"/>
          <w:sz w:val="28"/>
          <w:szCs w:val="28"/>
        </w:rPr>
        <w:t>о</w:t>
      </w:r>
      <w:r w:rsidRPr="00EC4ACF">
        <w:rPr>
          <w:rFonts w:ascii="Times New Roman" w:hAnsi="Times New Roman" w:cs="Times New Roman"/>
          <w:sz w:val="28"/>
          <w:szCs w:val="28"/>
        </w:rPr>
        <w:t xml:space="preserve">нах) на приводе крана соответствует моменту в 1 </w:t>
      </w:r>
      <w:proofErr w:type="spellStart"/>
      <w:r w:rsidRPr="00EC4ACF">
        <w:rPr>
          <w:rFonts w:ascii="Times New Roman" w:hAnsi="Times New Roman" w:cs="Times New Roman"/>
          <w:sz w:val="28"/>
          <w:szCs w:val="28"/>
        </w:rPr>
        <w:t>Н∙м</w:t>
      </w:r>
      <w:proofErr w:type="spellEnd"/>
      <w:r w:rsidRPr="00EC4ACF">
        <w:rPr>
          <w:rFonts w:ascii="Times New Roman" w:hAnsi="Times New Roman" w:cs="Times New Roman"/>
          <w:sz w:val="28"/>
          <w:szCs w:val="28"/>
        </w:rPr>
        <w:t xml:space="preserve"> на запирающем элементе.</w:t>
      </w:r>
    </w:p>
    <w:p w:rsidR="00C93929" w:rsidRPr="007D44F4" w:rsidRDefault="00C93929" w:rsidP="00446F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46F20" w:rsidRDefault="00446F20" w:rsidP="00446F20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Pr="00D0761E">
        <w:rPr>
          <w:rFonts w:ascii="Times New Roman" w:hAnsi="Times New Roman" w:cs="Times New Roman"/>
          <w:b/>
          <w:sz w:val="28"/>
          <w:szCs w:val="28"/>
        </w:rPr>
        <w:t xml:space="preserve"> Параметры блока</w:t>
      </w:r>
    </w:p>
    <w:p w:rsidR="00446F20" w:rsidRPr="000013A7" w:rsidRDefault="00446F20" w:rsidP="00446F20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0013A7">
        <w:rPr>
          <w:rFonts w:ascii="Times New Roman" w:hAnsi="Times New Roman" w:cs="Times New Roman"/>
          <w:sz w:val="24"/>
          <w:szCs w:val="28"/>
        </w:rPr>
        <w:tab/>
      </w:r>
    </w:p>
    <w:tbl>
      <w:tblPr>
        <w:tblStyle w:val="a3"/>
        <w:tblW w:w="7360" w:type="dxa"/>
        <w:jc w:val="center"/>
        <w:tblLook w:val="04A0" w:firstRow="1" w:lastRow="0" w:firstColumn="1" w:lastColumn="0" w:noHBand="0" w:noVBand="1"/>
      </w:tblPr>
      <w:tblGrid>
        <w:gridCol w:w="4259"/>
        <w:gridCol w:w="1358"/>
        <w:gridCol w:w="1743"/>
      </w:tblGrid>
      <w:tr w:rsidR="00446F20" w:rsidRPr="00EA4240" w:rsidTr="00575507">
        <w:trPr>
          <w:cantSplit/>
          <w:tblHeader/>
          <w:jc w:val="center"/>
        </w:trPr>
        <w:tc>
          <w:tcPr>
            <w:tcW w:w="4259" w:type="dxa"/>
          </w:tcPr>
          <w:p w:rsidR="00446F20" w:rsidRPr="00EA4240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446F20" w:rsidRPr="00EA4240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446F20" w:rsidRPr="00EA4240" w:rsidRDefault="00446F20" w:rsidP="007F0F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575507" w:rsidRPr="00EA4240" w:rsidTr="00575507">
        <w:trPr>
          <w:cantSplit/>
          <w:jc w:val="center"/>
        </w:trPr>
        <w:tc>
          <w:tcPr>
            <w:tcW w:w="4259" w:type="dxa"/>
          </w:tcPr>
          <w:p w:rsidR="00575507" w:rsidRPr="00575507" w:rsidRDefault="00575507" w:rsidP="005755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Угол поворо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та запирающего элемента</w:t>
            </w:r>
          </w:p>
        </w:tc>
        <w:tc>
          <w:tcPr>
            <w:tcW w:w="1358" w:type="dxa"/>
            <w:vAlign w:val="center"/>
          </w:tcPr>
          <w:p w:rsidR="00575507" w:rsidRPr="00575507" w:rsidRDefault="00575507" w:rsidP="0057550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градус</w:t>
            </w:r>
          </w:p>
        </w:tc>
        <w:tc>
          <w:tcPr>
            <w:tcW w:w="1743" w:type="dxa"/>
            <w:vAlign w:val="center"/>
          </w:tcPr>
          <w:p w:rsidR="00575507" w:rsidRPr="00575507" w:rsidRDefault="00575507" w:rsidP="0057550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proofErr w:type="spellStart"/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fi_ball</w:t>
            </w:r>
            <w:proofErr w:type="spellEnd"/>
          </w:p>
        </w:tc>
      </w:tr>
      <w:tr w:rsidR="00575507" w:rsidRPr="00EA4240" w:rsidTr="00575507">
        <w:trPr>
          <w:cantSplit/>
          <w:jc w:val="center"/>
        </w:trPr>
        <w:tc>
          <w:tcPr>
            <w:tcW w:w="4259" w:type="dxa"/>
          </w:tcPr>
          <w:p w:rsidR="00575507" w:rsidRPr="00575507" w:rsidRDefault="00575507" w:rsidP="005755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Противодействующее ус</w:t>
            </w:r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лие</w:t>
            </w:r>
          </w:p>
        </w:tc>
        <w:tc>
          <w:tcPr>
            <w:tcW w:w="1358" w:type="dxa"/>
            <w:vAlign w:val="center"/>
          </w:tcPr>
          <w:p w:rsidR="00575507" w:rsidRPr="00575507" w:rsidRDefault="00575507" w:rsidP="0057550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743" w:type="dxa"/>
            <w:vAlign w:val="center"/>
          </w:tcPr>
          <w:p w:rsidR="00575507" w:rsidRPr="00575507" w:rsidRDefault="00575507" w:rsidP="0057550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proofErr w:type="spellStart"/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F_ball</w:t>
            </w:r>
            <w:proofErr w:type="spellEnd"/>
          </w:p>
        </w:tc>
      </w:tr>
      <w:tr w:rsidR="00575507" w:rsidRPr="00EA4240" w:rsidTr="00575507">
        <w:trPr>
          <w:cantSplit/>
          <w:jc w:val="center"/>
        </w:trPr>
        <w:tc>
          <w:tcPr>
            <w:tcW w:w="4259" w:type="dxa"/>
          </w:tcPr>
          <w:p w:rsidR="00575507" w:rsidRPr="00575507" w:rsidRDefault="00575507" w:rsidP="0057550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Противодействующий м</w:t>
            </w:r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мент</w:t>
            </w:r>
          </w:p>
        </w:tc>
        <w:tc>
          <w:tcPr>
            <w:tcW w:w="1358" w:type="dxa"/>
            <w:vAlign w:val="center"/>
          </w:tcPr>
          <w:p w:rsidR="00575507" w:rsidRPr="00575507" w:rsidRDefault="00575507" w:rsidP="0057550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Н∙</w:t>
            </w:r>
            <w:r w:rsidRPr="003651D0">
              <w:rPr>
                <w:rFonts w:ascii="Times New Roman" w:eastAsia="Calibri" w:hAnsi="Times New Roman" w:cs="Times New Roman"/>
                <w:sz w:val="24"/>
                <w:szCs w:val="24"/>
              </w:rPr>
              <w:t>м</w:t>
            </w:r>
            <w:proofErr w:type="spellEnd"/>
          </w:p>
        </w:tc>
        <w:tc>
          <w:tcPr>
            <w:tcW w:w="1743" w:type="dxa"/>
            <w:vAlign w:val="center"/>
          </w:tcPr>
          <w:p w:rsidR="00575507" w:rsidRPr="00575507" w:rsidRDefault="00575507" w:rsidP="0057550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proofErr w:type="spellStart"/>
            <w:r w:rsidRPr="00575507">
              <w:rPr>
                <w:rFonts w:ascii="Times New Roman" w:eastAsia="Calibri" w:hAnsi="Times New Roman" w:cs="Times New Roman"/>
                <w:sz w:val="24"/>
                <w:szCs w:val="24"/>
              </w:rPr>
              <w:t>M_ball</w:t>
            </w:r>
            <w:proofErr w:type="spellEnd"/>
          </w:p>
        </w:tc>
      </w:tr>
    </w:tbl>
    <w:p w:rsidR="00D274A9" w:rsidRDefault="00D274A9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5BA8" w:rsidRDefault="00905BA8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5BA8" w:rsidRDefault="00905BA8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5BA8" w:rsidRDefault="00905BA8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5BA8" w:rsidRPr="00C95364" w:rsidRDefault="00905BA8" w:rsidP="004A500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832F9" w:rsidRPr="005478D6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627181">
        <w:rPr>
          <w:rFonts w:ascii="Times New Roman" w:hAnsi="Times New Roman" w:cs="Times New Roman"/>
          <w:sz w:val="28"/>
          <w:szCs w:val="28"/>
        </w:rPr>
        <w:t>один входной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</w:t>
      </w:r>
      <w:r w:rsidR="00EA7CA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B931BF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="00EA7CA9">
        <w:rPr>
          <w:rFonts w:ascii="Times New Roman" w:eastAsia="Calibri" w:hAnsi="Times New Roman" w:cs="Times New Roman"/>
          <w:sz w:val="28"/>
          <w:szCs w:val="28"/>
        </w:rPr>
        <w:t xml:space="preserve">»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типа «</w:t>
      </w:r>
      <w:r w:rsidR="00B931BF">
        <w:rPr>
          <w:rFonts w:ascii="Times New Roman" w:eastAsia="Calibri" w:hAnsi="Times New Roman" w:cs="Times New Roman"/>
          <w:sz w:val="28"/>
          <w:szCs w:val="28"/>
        </w:rPr>
        <w:t>Механика поступательная</w:t>
      </w:r>
      <w:r w:rsidR="0062718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связь»</w:t>
      </w:r>
      <w:r w:rsidR="00B931BF">
        <w:rPr>
          <w:rFonts w:ascii="Times New Roman" w:eastAsia="Calibri" w:hAnsi="Times New Roman" w:cs="Times New Roman"/>
          <w:sz w:val="28"/>
          <w:szCs w:val="28"/>
        </w:rPr>
        <w:t xml:space="preserve">, предназначенный </w:t>
      </w:r>
      <w:r w:rsidR="00B931BF" w:rsidRPr="00D0761E">
        <w:rPr>
          <w:rFonts w:ascii="Times New Roman" w:hAnsi="Times New Roman" w:cs="Times New Roman"/>
          <w:sz w:val="28"/>
          <w:szCs w:val="28"/>
        </w:rPr>
        <w:t>для соединения с блоками</w:t>
      </w:r>
      <w:r w:rsidR="00B931BF">
        <w:rPr>
          <w:rFonts w:ascii="Times New Roman" w:hAnsi="Times New Roman" w:cs="Times New Roman"/>
          <w:sz w:val="28"/>
          <w:szCs w:val="28"/>
        </w:rPr>
        <w:t xml:space="preserve"> типа «Механический элемент поступ</w:t>
      </w:r>
      <w:r w:rsidR="00B931BF">
        <w:rPr>
          <w:rFonts w:ascii="Times New Roman" w:hAnsi="Times New Roman" w:cs="Times New Roman"/>
          <w:sz w:val="28"/>
          <w:szCs w:val="28"/>
        </w:rPr>
        <w:t>а</w:t>
      </w:r>
      <w:r w:rsidR="00B931BF">
        <w:rPr>
          <w:rFonts w:ascii="Times New Roman" w:hAnsi="Times New Roman" w:cs="Times New Roman"/>
          <w:sz w:val="28"/>
          <w:szCs w:val="28"/>
        </w:rPr>
        <w:t>тельного движения»</w:t>
      </w:r>
      <w:r w:rsidR="00085954">
        <w:rPr>
          <w:rFonts w:ascii="Times New Roman" w:hAnsi="Times New Roman" w:cs="Times New Roman"/>
          <w:sz w:val="28"/>
          <w:szCs w:val="28"/>
        </w:rPr>
        <w:t xml:space="preserve"> </w:t>
      </w:r>
      <w:r w:rsidR="00B931BF">
        <w:rPr>
          <w:rFonts w:ascii="Times New Roman" w:hAnsi="Times New Roman" w:cs="Times New Roman"/>
          <w:sz w:val="28"/>
          <w:szCs w:val="28"/>
        </w:rPr>
        <w:t>библиотеки «ГПС», а также с блоками библиотеки «Механика»</w:t>
      </w:r>
      <w:r w:rsidR="00B931BF"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920496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 w:rsidR="00B931BF">
        <w:rPr>
          <w:rFonts w:ascii="Times New Roman" w:eastAsia="Calibri" w:hAnsi="Times New Roman" w:cs="Times New Roman"/>
          <w:sz w:val="28"/>
          <w:szCs w:val="28"/>
        </w:rPr>
        <w:t>ГПС</w:t>
      </w:r>
      <w:r w:rsidRPr="00AD70A9">
        <w:rPr>
          <w:rFonts w:ascii="Times New Roman" w:eastAsia="Calibri" w:hAnsi="Times New Roman" w:cs="Times New Roman"/>
          <w:sz w:val="28"/>
          <w:szCs w:val="28"/>
        </w:rPr>
        <w:t>»</w:t>
      </w:r>
      <w:r w:rsidR="00920496">
        <w:rPr>
          <w:rFonts w:ascii="Times New Roman" w:eastAsia="Calibri" w:hAnsi="Times New Roman" w:cs="Times New Roman"/>
          <w:sz w:val="28"/>
          <w:szCs w:val="28"/>
        </w:rPr>
        <w:t xml:space="preserve"> и «</w:t>
      </w:r>
      <w:r w:rsidR="00B931BF">
        <w:rPr>
          <w:rFonts w:ascii="Times New Roman" w:eastAsia="Calibri" w:hAnsi="Times New Roman" w:cs="Times New Roman"/>
          <w:sz w:val="28"/>
          <w:szCs w:val="28"/>
        </w:rPr>
        <w:t>Механика</w:t>
      </w:r>
      <w:r w:rsidR="00920496">
        <w:rPr>
          <w:rFonts w:ascii="Times New Roman" w:eastAsia="Calibri" w:hAnsi="Times New Roman" w:cs="Times New Roman"/>
          <w:sz w:val="28"/>
          <w:szCs w:val="28"/>
        </w:rPr>
        <w:t>»</w:t>
      </w:r>
      <w:r w:rsidR="00EB06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70A9">
        <w:rPr>
          <w:rFonts w:ascii="Times New Roman" w:eastAsia="Calibri" w:hAnsi="Times New Roman" w:cs="Times New Roman"/>
          <w:sz w:val="28"/>
          <w:szCs w:val="28"/>
        </w:rPr>
        <w:t>прив</w:t>
      </w:r>
      <w:r w:rsidRPr="00AD70A9">
        <w:rPr>
          <w:rFonts w:ascii="Times New Roman" w:eastAsia="Calibri" w:hAnsi="Times New Roman" w:cs="Times New Roman"/>
          <w:sz w:val="28"/>
          <w:szCs w:val="28"/>
        </w:rPr>
        <w:t>е</w:t>
      </w:r>
      <w:r w:rsidRPr="00AD70A9">
        <w:rPr>
          <w:rFonts w:ascii="Times New Roman" w:eastAsia="Calibri" w:hAnsi="Times New Roman" w:cs="Times New Roman"/>
          <w:sz w:val="28"/>
          <w:szCs w:val="28"/>
        </w:rPr>
        <w:t>дены на рисунке 1.</w:t>
      </w:r>
    </w:p>
    <w:p w:rsidR="001C69D4" w:rsidRDefault="001C69D4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05BA8" w:rsidRPr="00AD70A9" w:rsidRDefault="00BC222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C222F">
        <w:rPr>
          <w:noProof/>
          <w:lang w:eastAsia="ru-RU"/>
        </w:rPr>
        <w:t xml:space="preserve"> </w:t>
      </w:r>
      <w:bookmarkStart w:id="0" w:name="_GoBack"/>
      <w:bookmarkEnd w:id="0"/>
      <w:r w:rsidR="00905BA8">
        <w:rPr>
          <w:noProof/>
          <w:lang w:eastAsia="ru-RU"/>
        </w:rPr>
        <w:drawing>
          <wp:inline distT="0" distB="0" distL="0" distR="0" wp14:anchorId="02501CB7" wp14:editId="2FC3A13E">
            <wp:extent cx="6152515" cy="23647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2F9" w:rsidRDefault="00AD70A9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 xml:space="preserve">Рисунок 1 – 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Примеры соединения блока с </w:t>
      </w:r>
      <w:r w:rsidR="008D11B4">
        <w:rPr>
          <w:rFonts w:ascii="Times New Roman" w:eastAsia="Calibri" w:hAnsi="Times New Roman" w:cs="Times New Roman"/>
          <w:sz w:val="28"/>
          <w:szCs w:val="28"/>
        </w:rPr>
        <w:t>блоками библиотек</w:t>
      </w:r>
      <w:r w:rsidR="008D11B4" w:rsidRPr="00AD70A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AD70A9" w:rsidRDefault="008D11B4" w:rsidP="009141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«</w:t>
      </w:r>
      <w:r w:rsidR="006832F9">
        <w:rPr>
          <w:rFonts w:ascii="Times New Roman" w:eastAsia="Calibri" w:hAnsi="Times New Roman" w:cs="Times New Roman"/>
          <w:sz w:val="28"/>
          <w:szCs w:val="28"/>
        </w:rPr>
        <w:t>Автоматика</w:t>
      </w:r>
      <w:r w:rsidRPr="00AD70A9">
        <w:rPr>
          <w:rFonts w:ascii="Times New Roman" w:eastAsia="Calibri" w:hAnsi="Times New Roman" w:cs="Times New Roman"/>
          <w:sz w:val="28"/>
          <w:szCs w:val="28"/>
        </w:rPr>
        <w:t>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«</w:t>
      </w:r>
      <w:r w:rsidR="006832F9">
        <w:rPr>
          <w:rFonts w:ascii="Times New Roman" w:eastAsia="Calibri" w:hAnsi="Times New Roman" w:cs="Times New Roman"/>
          <w:sz w:val="28"/>
          <w:szCs w:val="28"/>
        </w:rPr>
        <w:t>ГПС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327B67" w:rsidRDefault="00327B67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8A2D6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AA461F" w:rsidRDefault="00AA461F" w:rsidP="00AA461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A461F">
        <w:rPr>
          <w:rFonts w:ascii="Times New Roman" w:hAnsi="Times New Roman"/>
          <w:sz w:val="28"/>
          <w:szCs w:val="28"/>
        </w:rPr>
        <w:t xml:space="preserve">Внутренняя структура блока показана на рисунке </w:t>
      </w:r>
      <w:r>
        <w:rPr>
          <w:rFonts w:ascii="Times New Roman" w:hAnsi="Times New Roman"/>
          <w:sz w:val="28"/>
          <w:szCs w:val="28"/>
        </w:rPr>
        <w:t>2</w:t>
      </w:r>
      <w:r w:rsidRPr="00AA461F">
        <w:rPr>
          <w:rFonts w:ascii="Times New Roman" w:hAnsi="Times New Roman"/>
          <w:sz w:val="28"/>
          <w:szCs w:val="28"/>
        </w:rPr>
        <w:t>.</w:t>
      </w:r>
    </w:p>
    <w:p w:rsidR="00AA461F" w:rsidRPr="00AA461F" w:rsidRDefault="00AA461F" w:rsidP="00AA461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AA461F" w:rsidRPr="00AA461F" w:rsidRDefault="004B391A" w:rsidP="00AA461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C78BBEF" wp14:editId="5ECE77B8">
            <wp:extent cx="5709655" cy="1693627"/>
            <wp:effectExtent l="0" t="0" r="571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490" cy="16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1F" w:rsidRPr="00AA461F" w:rsidRDefault="00AA461F" w:rsidP="00AA461F">
      <w:pPr>
        <w:spacing w:after="0" w:line="240" w:lineRule="auto"/>
        <w:jc w:val="center"/>
        <w:outlineLvl w:val="0"/>
        <w:rPr>
          <w:rFonts w:ascii="Times New Roman" w:hAnsi="Times New Roman"/>
          <w:sz w:val="28"/>
          <w:szCs w:val="28"/>
        </w:rPr>
      </w:pPr>
      <w:r w:rsidRPr="00AA461F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AA461F">
        <w:rPr>
          <w:rFonts w:ascii="Times New Roman" w:hAnsi="Times New Roman"/>
          <w:sz w:val="28"/>
          <w:szCs w:val="28"/>
        </w:rPr>
        <w:t xml:space="preserve"> – Внутренняя структура блока</w:t>
      </w:r>
    </w:p>
    <w:p w:rsidR="00AA461F" w:rsidRDefault="00AA461F" w:rsidP="00AA461F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4B391A" w:rsidRPr="004B391A" w:rsidRDefault="004B391A" w:rsidP="004B391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4B391A">
        <w:rPr>
          <w:rFonts w:ascii="Times New Roman" w:hAnsi="Times New Roman"/>
          <w:sz w:val="28"/>
          <w:szCs w:val="28"/>
        </w:rPr>
        <w:t>Зависимость противодействующего момента от угла поворота запирающего элемента является кусочно-линейной. Интерполяция осуществляется блоком «Л</w:t>
      </w:r>
      <w:r w:rsidRPr="004B391A">
        <w:rPr>
          <w:rFonts w:ascii="Times New Roman" w:hAnsi="Times New Roman"/>
          <w:sz w:val="28"/>
          <w:szCs w:val="28"/>
        </w:rPr>
        <w:t>о</w:t>
      </w:r>
      <w:r w:rsidRPr="004B391A">
        <w:rPr>
          <w:rFonts w:ascii="Times New Roman" w:hAnsi="Times New Roman"/>
          <w:sz w:val="28"/>
          <w:szCs w:val="28"/>
        </w:rPr>
        <w:t>маная статическая характеристика» библиотеки «Автоматика». Учет кинематич</w:t>
      </w:r>
      <w:r w:rsidRPr="004B391A">
        <w:rPr>
          <w:rFonts w:ascii="Times New Roman" w:hAnsi="Times New Roman"/>
          <w:sz w:val="28"/>
          <w:szCs w:val="28"/>
        </w:rPr>
        <w:t>е</w:t>
      </w:r>
      <w:r w:rsidRPr="004B391A">
        <w:rPr>
          <w:rFonts w:ascii="Times New Roman" w:hAnsi="Times New Roman"/>
          <w:sz w:val="28"/>
          <w:szCs w:val="28"/>
        </w:rPr>
        <w:t>ского и силового коэффициентов передачи осуществляется с помощью блоков «Усилитель» библиотеки «Автоматика».</w:t>
      </w:r>
    </w:p>
    <w:p w:rsidR="00F03306" w:rsidRPr="004B391A" w:rsidRDefault="004B391A" w:rsidP="004B391A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4B391A">
        <w:rPr>
          <w:rFonts w:ascii="Times New Roman" w:hAnsi="Times New Roman"/>
          <w:sz w:val="28"/>
          <w:szCs w:val="28"/>
        </w:rPr>
        <w:t>Для учета того, что нагрузка на приводе крана является силой, направленной противоположно направлению положительного перемещения привода, значение с</w:t>
      </w:r>
      <w:r w:rsidRPr="004B391A">
        <w:rPr>
          <w:rFonts w:ascii="Times New Roman" w:hAnsi="Times New Roman"/>
          <w:sz w:val="28"/>
          <w:szCs w:val="28"/>
        </w:rPr>
        <w:t>и</w:t>
      </w:r>
      <w:r w:rsidRPr="004B391A">
        <w:rPr>
          <w:rFonts w:ascii="Times New Roman" w:hAnsi="Times New Roman"/>
          <w:sz w:val="28"/>
          <w:szCs w:val="28"/>
        </w:rPr>
        <w:t>лы, полученное на выходе блока «Ломаная статическая характеристика», кроме умножения на силовой коэффициент передачи, умножается на минус единицу.</w:t>
      </w:r>
    </w:p>
    <w:sectPr w:rsidR="00F03306" w:rsidRPr="004B391A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B43" w:rsidRDefault="00263B43" w:rsidP="00F30D44">
      <w:pPr>
        <w:spacing w:after="0" w:line="240" w:lineRule="auto"/>
      </w:pPr>
      <w:r>
        <w:separator/>
      </w:r>
    </w:p>
  </w:endnote>
  <w:endnote w:type="continuationSeparator" w:id="0">
    <w:p w:rsidR="00263B43" w:rsidRDefault="00263B43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B43" w:rsidRDefault="00263B43" w:rsidP="00F30D44">
      <w:pPr>
        <w:spacing w:after="0" w:line="240" w:lineRule="auto"/>
      </w:pPr>
      <w:r>
        <w:separator/>
      </w:r>
    </w:p>
  </w:footnote>
  <w:footnote w:type="continuationSeparator" w:id="0">
    <w:p w:rsidR="00263B43" w:rsidRDefault="00263B43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0E7885"/>
    <w:multiLevelType w:val="hybridMultilevel"/>
    <w:tmpl w:val="2C16C7C6"/>
    <w:lvl w:ilvl="0" w:tplc="62F27800">
      <w:numFmt w:val="bullet"/>
      <w:lvlText w:val="–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004D0"/>
    <w:rsid w:val="000013A7"/>
    <w:rsid w:val="00015F9A"/>
    <w:rsid w:val="000160BE"/>
    <w:rsid w:val="0002107C"/>
    <w:rsid w:val="000318BC"/>
    <w:rsid w:val="000320D2"/>
    <w:rsid w:val="00032FC7"/>
    <w:rsid w:val="00033F92"/>
    <w:rsid w:val="00035850"/>
    <w:rsid w:val="0004214E"/>
    <w:rsid w:val="000517C0"/>
    <w:rsid w:val="00054F6C"/>
    <w:rsid w:val="0005646B"/>
    <w:rsid w:val="0007037C"/>
    <w:rsid w:val="00073285"/>
    <w:rsid w:val="00085954"/>
    <w:rsid w:val="00086082"/>
    <w:rsid w:val="00087269"/>
    <w:rsid w:val="0008730A"/>
    <w:rsid w:val="000927BF"/>
    <w:rsid w:val="00092EC3"/>
    <w:rsid w:val="00094F1D"/>
    <w:rsid w:val="000A46DD"/>
    <w:rsid w:val="000B21B7"/>
    <w:rsid w:val="000B251C"/>
    <w:rsid w:val="000B7EE7"/>
    <w:rsid w:val="000C3424"/>
    <w:rsid w:val="000C667F"/>
    <w:rsid w:val="000D17FF"/>
    <w:rsid w:val="000D598A"/>
    <w:rsid w:val="000D6CC5"/>
    <w:rsid w:val="000E30B7"/>
    <w:rsid w:val="000F04C3"/>
    <w:rsid w:val="000F2777"/>
    <w:rsid w:val="000F3739"/>
    <w:rsid w:val="000F3C09"/>
    <w:rsid w:val="000F625C"/>
    <w:rsid w:val="001001AA"/>
    <w:rsid w:val="00100EE2"/>
    <w:rsid w:val="0010122A"/>
    <w:rsid w:val="001036B5"/>
    <w:rsid w:val="0010491A"/>
    <w:rsid w:val="0011328D"/>
    <w:rsid w:val="001138AC"/>
    <w:rsid w:val="00125EE1"/>
    <w:rsid w:val="00132DF6"/>
    <w:rsid w:val="00151041"/>
    <w:rsid w:val="00151515"/>
    <w:rsid w:val="00153C49"/>
    <w:rsid w:val="001569E3"/>
    <w:rsid w:val="00162724"/>
    <w:rsid w:val="00164F8F"/>
    <w:rsid w:val="00170BBA"/>
    <w:rsid w:val="00175BB4"/>
    <w:rsid w:val="00177221"/>
    <w:rsid w:val="00192733"/>
    <w:rsid w:val="001A583A"/>
    <w:rsid w:val="001A5E6A"/>
    <w:rsid w:val="001A7B42"/>
    <w:rsid w:val="001B7787"/>
    <w:rsid w:val="001C32E0"/>
    <w:rsid w:val="001C623D"/>
    <w:rsid w:val="001C69D4"/>
    <w:rsid w:val="001D0EF5"/>
    <w:rsid w:val="001D2593"/>
    <w:rsid w:val="001D5A3D"/>
    <w:rsid w:val="001D778F"/>
    <w:rsid w:val="001E0994"/>
    <w:rsid w:val="00205344"/>
    <w:rsid w:val="00205F90"/>
    <w:rsid w:val="00210675"/>
    <w:rsid w:val="00211759"/>
    <w:rsid w:val="0021556E"/>
    <w:rsid w:val="0021753C"/>
    <w:rsid w:val="00227931"/>
    <w:rsid w:val="00246EB3"/>
    <w:rsid w:val="002475F0"/>
    <w:rsid w:val="00251840"/>
    <w:rsid w:val="002542C6"/>
    <w:rsid w:val="00254E8A"/>
    <w:rsid w:val="002629FA"/>
    <w:rsid w:val="00263B43"/>
    <w:rsid w:val="00263F2F"/>
    <w:rsid w:val="00275C4B"/>
    <w:rsid w:val="00282739"/>
    <w:rsid w:val="00287546"/>
    <w:rsid w:val="002879B9"/>
    <w:rsid w:val="00291F83"/>
    <w:rsid w:val="00292B1E"/>
    <w:rsid w:val="00295B11"/>
    <w:rsid w:val="00297131"/>
    <w:rsid w:val="002A1A75"/>
    <w:rsid w:val="002A20B8"/>
    <w:rsid w:val="002A622F"/>
    <w:rsid w:val="002A76CA"/>
    <w:rsid w:val="002B3E6B"/>
    <w:rsid w:val="002C2D6B"/>
    <w:rsid w:val="002C7DAA"/>
    <w:rsid w:val="002D3825"/>
    <w:rsid w:val="002E1AFA"/>
    <w:rsid w:val="002F2E65"/>
    <w:rsid w:val="002F440E"/>
    <w:rsid w:val="002F58F4"/>
    <w:rsid w:val="002F743B"/>
    <w:rsid w:val="00315822"/>
    <w:rsid w:val="00321A5C"/>
    <w:rsid w:val="00327B67"/>
    <w:rsid w:val="0033020C"/>
    <w:rsid w:val="00334E2D"/>
    <w:rsid w:val="00337EA4"/>
    <w:rsid w:val="00354A8B"/>
    <w:rsid w:val="00363885"/>
    <w:rsid w:val="003661A3"/>
    <w:rsid w:val="00371D5F"/>
    <w:rsid w:val="003726B8"/>
    <w:rsid w:val="003732E6"/>
    <w:rsid w:val="00373E58"/>
    <w:rsid w:val="00374664"/>
    <w:rsid w:val="00374F28"/>
    <w:rsid w:val="003757D9"/>
    <w:rsid w:val="00376F80"/>
    <w:rsid w:val="00382D47"/>
    <w:rsid w:val="00394724"/>
    <w:rsid w:val="0039544E"/>
    <w:rsid w:val="00395EB6"/>
    <w:rsid w:val="003A3693"/>
    <w:rsid w:val="003A67A9"/>
    <w:rsid w:val="003B0BE0"/>
    <w:rsid w:val="003C0841"/>
    <w:rsid w:val="003C1B26"/>
    <w:rsid w:val="003C7075"/>
    <w:rsid w:val="003C7263"/>
    <w:rsid w:val="003D1F9A"/>
    <w:rsid w:val="003D6F9C"/>
    <w:rsid w:val="003D799C"/>
    <w:rsid w:val="003E76A9"/>
    <w:rsid w:val="003F32A8"/>
    <w:rsid w:val="003F5727"/>
    <w:rsid w:val="003F5B3B"/>
    <w:rsid w:val="00411061"/>
    <w:rsid w:val="004112B5"/>
    <w:rsid w:val="00416E41"/>
    <w:rsid w:val="004202EF"/>
    <w:rsid w:val="00421120"/>
    <w:rsid w:val="00426623"/>
    <w:rsid w:val="00433621"/>
    <w:rsid w:val="00433847"/>
    <w:rsid w:val="00434463"/>
    <w:rsid w:val="00446F20"/>
    <w:rsid w:val="00450AB2"/>
    <w:rsid w:val="00451486"/>
    <w:rsid w:val="00455E62"/>
    <w:rsid w:val="00466E0C"/>
    <w:rsid w:val="004678D4"/>
    <w:rsid w:val="004773B9"/>
    <w:rsid w:val="00493C28"/>
    <w:rsid w:val="00496509"/>
    <w:rsid w:val="00497FB7"/>
    <w:rsid w:val="004A500B"/>
    <w:rsid w:val="004B06F8"/>
    <w:rsid w:val="004B391A"/>
    <w:rsid w:val="004B65BD"/>
    <w:rsid w:val="004C35A2"/>
    <w:rsid w:val="004D393E"/>
    <w:rsid w:val="004D7019"/>
    <w:rsid w:val="004E3B71"/>
    <w:rsid w:val="004F2CBC"/>
    <w:rsid w:val="00505DD5"/>
    <w:rsid w:val="00513474"/>
    <w:rsid w:val="00516EE0"/>
    <w:rsid w:val="00521D69"/>
    <w:rsid w:val="005222DA"/>
    <w:rsid w:val="0052473D"/>
    <w:rsid w:val="00533B4C"/>
    <w:rsid w:val="00536B60"/>
    <w:rsid w:val="00541F2C"/>
    <w:rsid w:val="0054458F"/>
    <w:rsid w:val="00544FA6"/>
    <w:rsid w:val="005466A1"/>
    <w:rsid w:val="005478D6"/>
    <w:rsid w:val="00553C4C"/>
    <w:rsid w:val="00555217"/>
    <w:rsid w:val="00565BD1"/>
    <w:rsid w:val="005672A2"/>
    <w:rsid w:val="00570936"/>
    <w:rsid w:val="00575507"/>
    <w:rsid w:val="005774DA"/>
    <w:rsid w:val="00580B31"/>
    <w:rsid w:val="005817EF"/>
    <w:rsid w:val="00584E3C"/>
    <w:rsid w:val="00587A09"/>
    <w:rsid w:val="00590736"/>
    <w:rsid w:val="0059147F"/>
    <w:rsid w:val="005950A8"/>
    <w:rsid w:val="0059737E"/>
    <w:rsid w:val="005A346C"/>
    <w:rsid w:val="005A38C0"/>
    <w:rsid w:val="005B45D3"/>
    <w:rsid w:val="005B4F39"/>
    <w:rsid w:val="005B5150"/>
    <w:rsid w:val="005C71D6"/>
    <w:rsid w:val="005E1E02"/>
    <w:rsid w:val="005E5350"/>
    <w:rsid w:val="005E7475"/>
    <w:rsid w:val="00610B92"/>
    <w:rsid w:val="0061160B"/>
    <w:rsid w:val="00611B6F"/>
    <w:rsid w:val="006128CF"/>
    <w:rsid w:val="00622959"/>
    <w:rsid w:val="00627181"/>
    <w:rsid w:val="006307B6"/>
    <w:rsid w:val="006455A5"/>
    <w:rsid w:val="006455B5"/>
    <w:rsid w:val="006464EE"/>
    <w:rsid w:val="00650E68"/>
    <w:rsid w:val="00651606"/>
    <w:rsid w:val="006537DC"/>
    <w:rsid w:val="00654C22"/>
    <w:rsid w:val="00656553"/>
    <w:rsid w:val="00656E2D"/>
    <w:rsid w:val="00661409"/>
    <w:rsid w:val="00663CC5"/>
    <w:rsid w:val="00667162"/>
    <w:rsid w:val="006722B2"/>
    <w:rsid w:val="006811A0"/>
    <w:rsid w:val="00681C75"/>
    <w:rsid w:val="00681EF6"/>
    <w:rsid w:val="006832F9"/>
    <w:rsid w:val="0068483D"/>
    <w:rsid w:val="00685EEC"/>
    <w:rsid w:val="00690BB4"/>
    <w:rsid w:val="006A39AA"/>
    <w:rsid w:val="006A6BE1"/>
    <w:rsid w:val="006B17A5"/>
    <w:rsid w:val="006B7140"/>
    <w:rsid w:val="006D641C"/>
    <w:rsid w:val="006D6C97"/>
    <w:rsid w:val="006D7491"/>
    <w:rsid w:val="006D7E1B"/>
    <w:rsid w:val="006E1649"/>
    <w:rsid w:val="006E23BC"/>
    <w:rsid w:val="006E7B2A"/>
    <w:rsid w:val="006F09EA"/>
    <w:rsid w:val="00701E25"/>
    <w:rsid w:val="007028BC"/>
    <w:rsid w:val="007043AA"/>
    <w:rsid w:val="00715008"/>
    <w:rsid w:val="00717655"/>
    <w:rsid w:val="00720E32"/>
    <w:rsid w:val="00746EBB"/>
    <w:rsid w:val="00753FE3"/>
    <w:rsid w:val="007563D3"/>
    <w:rsid w:val="00763111"/>
    <w:rsid w:val="0076384B"/>
    <w:rsid w:val="0076415C"/>
    <w:rsid w:val="007729C5"/>
    <w:rsid w:val="00775CCA"/>
    <w:rsid w:val="00787857"/>
    <w:rsid w:val="007A1D36"/>
    <w:rsid w:val="007B1962"/>
    <w:rsid w:val="007C0670"/>
    <w:rsid w:val="007C4092"/>
    <w:rsid w:val="007C437D"/>
    <w:rsid w:val="007C7A7E"/>
    <w:rsid w:val="007D0B8F"/>
    <w:rsid w:val="007D409C"/>
    <w:rsid w:val="007D44F4"/>
    <w:rsid w:val="007D4F14"/>
    <w:rsid w:val="007E65E1"/>
    <w:rsid w:val="007F3CB8"/>
    <w:rsid w:val="00802C66"/>
    <w:rsid w:val="00807F72"/>
    <w:rsid w:val="0081351B"/>
    <w:rsid w:val="00821DA4"/>
    <w:rsid w:val="00827DA4"/>
    <w:rsid w:val="00831090"/>
    <w:rsid w:val="008352CA"/>
    <w:rsid w:val="00840B58"/>
    <w:rsid w:val="008527EA"/>
    <w:rsid w:val="00873533"/>
    <w:rsid w:val="00881F3A"/>
    <w:rsid w:val="008875DA"/>
    <w:rsid w:val="00891362"/>
    <w:rsid w:val="00897004"/>
    <w:rsid w:val="008A26DB"/>
    <w:rsid w:val="008A2D68"/>
    <w:rsid w:val="008B33A1"/>
    <w:rsid w:val="008B7603"/>
    <w:rsid w:val="008C43EB"/>
    <w:rsid w:val="008D11B4"/>
    <w:rsid w:val="008D1C4C"/>
    <w:rsid w:val="008D63FF"/>
    <w:rsid w:val="008D7357"/>
    <w:rsid w:val="008E03E5"/>
    <w:rsid w:val="008E21F2"/>
    <w:rsid w:val="008E712B"/>
    <w:rsid w:val="009046B9"/>
    <w:rsid w:val="00905BA8"/>
    <w:rsid w:val="00911624"/>
    <w:rsid w:val="00914158"/>
    <w:rsid w:val="00920496"/>
    <w:rsid w:val="00920F38"/>
    <w:rsid w:val="0092367C"/>
    <w:rsid w:val="00924D46"/>
    <w:rsid w:val="009279B9"/>
    <w:rsid w:val="00931D62"/>
    <w:rsid w:val="0094640A"/>
    <w:rsid w:val="00946D1C"/>
    <w:rsid w:val="00963271"/>
    <w:rsid w:val="0097020F"/>
    <w:rsid w:val="0097654A"/>
    <w:rsid w:val="00986ABE"/>
    <w:rsid w:val="009870FC"/>
    <w:rsid w:val="00992F1B"/>
    <w:rsid w:val="00995AC8"/>
    <w:rsid w:val="009A436E"/>
    <w:rsid w:val="009B5697"/>
    <w:rsid w:val="009D1209"/>
    <w:rsid w:val="009D5D96"/>
    <w:rsid w:val="009D60A1"/>
    <w:rsid w:val="009F65E8"/>
    <w:rsid w:val="00A04744"/>
    <w:rsid w:val="00A064FE"/>
    <w:rsid w:val="00A13527"/>
    <w:rsid w:val="00A20EE8"/>
    <w:rsid w:val="00A21D87"/>
    <w:rsid w:val="00A21F38"/>
    <w:rsid w:val="00A231A3"/>
    <w:rsid w:val="00A242B3"/>
    <w:rsid w:val="00A324B8"/>
    <w:rsid w:val="00A33176"/>
    <w:rsid w:val="00A3428B"/>
    <w:rsid w:val="00A43509"/>
    <w:rsid w:val="00A43D50"/>
    <w:rsid w:val="00A52396"/>
    <w:rsid w:val="00A54260"/>
    <w:rsid w:val="00A57B81"/>
    <w:rsid w:val="00A6209B"/>
    <w:rsid w:val="00A66543"/>
    <w:rsid w:val="00A72BF4"/>
    <w:rsid w:val="00A8055C"/>
    <w:rsid w:val="00A87265"/>
    <w:rsid w:val="00AA0039"/>
    <w:rsid w:val="00AA1892"/>
    <w:rsid w:val="00AA3102"/>
    <w:rsid w:val="00AA461F"/>
    <w:rsid w:val="00AA582C"/>
    <w:rsid w:val="00AA73BB"/>
    <w:rsid w:val="00AC378E"/>
    <w:rsid w:val="00AD4318"/>
    <w:rsid w:val="00AD5F31"/>
    <w:rsid w:val="00AD70A9"/>
    <w:rsid w:val="00AE4533"/>
    <w:rsid w:val="00AE7440"/>
    <w:rsid w:val="00B00202"/>
    <w:rsid w:val="00B02233"/>
    <w:rsid w:val="00B055B9"/>
    <w:rsid w:val="00B05D08"/>
    <w:rsid w:val="00B061B6"/>
    <w:rsid w:val="00B1441E"/>
    <w:rsid w:val="00B17F6E"/>
    <w:rsid w:val="00B20553"/>
    <w:rsid w:val="00B237D0"/>
    <w:rsid w:val="00B2574F"/>
    <w:rsid w:val="00B25831"/>
    <w:rsid w:val="00B26519"/>
    <w:rsid w:val="00B326D4"/>
    <w:rsid w:val="00B33E6A"/>
    <w:rsid w:val="00B34485"/>
    <w:rsid w:val="00B35BF0"/>
    <w:rsid w:val="00B40A80"/>
    <w:rsid w:val="00B40D44"/>
    <w:rsid w:val="00B4311F"/>
    <w:rsid w:val="00B629B1"/>
    <w:rsid w:val="00B63F1F"/>
    <w:rsid w:val="00B70F36"/>
    <w:rsid w:val="00B82ABD"/>
    <w:rsid w:val="00B92387"/>
    <w:rsid w:val="00B931BF"/>
    <w:rsid w:val="00B9389E"/>
    <w:rsid w:val="00BA1F18"/>
    <w:rsid w:val="00BA2E9E"/>
    <w:rsid w:val="00BB0035"/>
    <w:rsid w:val="00BB0AF6"/>
    <w:rsid w:val="00BB1FA1"/>
    <w:rsid w:val="00BB5E51"/>
    <w:rsid w:val="00BB774D"/>
    <w:rsid w:val="00BC1B9E"/>
    <w:rsid w:val="00BC222F"/>
    <w:rsid w:val="00BC6CC5"/>
    <w:rsid w:val="00BD277F"/>
    <w:rsid w:val="00BD36BD"/>
    <w:rsid w:val="00BD3D2A"/>
    <w:rsid w:val="00BD6714"/>
    <w:rsid w:val="00BF01E3"/>
    <w:rsid w:val="00BF03D1"/>
    <w:rsid w:val="00BF2256"/>
    <w:rsid w:val="00BF26CF"/>
    <w:rsid w:val="00C023C0"/>
    <w:rsid w:val="00C024B0"/>
    <w:rsid w:val="00C0298F"/>
    <w:rsid w:val="00C07174"/>
    <w:rsid w:val="00C12961"/>
    <w:rsid w:val="00C1410D"/>
    <w:rsid w:val="00C16BE3"/>
    <w:rsid w:val="00C20642"/>
    <w:rsid w:val="00C215D8"/>
    <w:rsid w:val="00C25D41"/>
    <w:rsid w:val="00C321AA"/>
    <w:rsid w:val="00C364E9"/>
    <w:rsid w:val="00C4089F"/>
    <w:rsid w:val="00C42AC2"/>
    <w:rsid w:val="00C4429B"/>
    <w:rsid w:val="00C50A0B"/>
    <w:rsid w:val="00C7114F"/>
    <w:rsid w:val="00C71D55"/>
    <w:rsid w:val="00C772B2"/>
    <w:rsid w:val="00C832CF"/>
    <w:rsid w:val="00C87176"/>
    <w:rsid w:val="00C8797D"/>
    <w:rsid w:val="00C879AC"/>
    <w:rsid w:val="00C93929"/>
    <w:rsid w:val="00C94C6E"/>
    <w:rsid w:val="00C95364"/>
    <w:rsid w:val="00CA4CE9"/>
    <w:rsid w:val="00CA6115"/>
    <w:rsid w:val="00CA73D9"/>
    <w:rsid w:val="00CA783D"/>
    <w:rsid w:val="00CB2022"/>
    <w:rsid w:val="00CB5F24"/>
    <w:rsid w:val="00CC2CFC"/>
    <w:rsid w:val="00CC5CA5"/>
    <w:rsid w:val="00CC6195"/>
    <w:rsid w:val="00CD660D"/>
    <w:rsid w:val="00CE0CF1"/>
    <w:rsid w:val="00CE7DD1"/>
    <w:rsid w:val="00CF7F7E"/>
    <w:rsid w:val="00D01003"/>
    <w:rsid w:val="00D01541"/>
    <w:rsid w:val="00D0761E"/>
    <w:rsid w:val="00D2106E"/>
    <w:rsid w:val="00D2216F"/>
    <w:rsid w:val="00D274A9"/>
    <w:rsid w:val="00D302F3"/>
    <w:rsid w:val="00D36798"/>
    <w:rsid w:val="00D476D4"/>
    <w:rsid w:val="00D50E49"/>
    <w:rsid w:val="00D522BA"/>
    <w:rsid w:val="00D53D8E"/>
    <w:rsid w:val="00D57CC5"/>
    <w:rsid w:val="00D600CC"/>
    <w:rsid w:val="00D63EE0"/>
    <w:rsid w:val="00D64183"/>
    <w:rsid w:val="00D65DEE"/>
    <w:rsid w:val="00D66C19"/>
    <w:rsid w:val="00D72B2B"/>
    <w:rsid w:val="00D774E7"/>
    <w:rsid w:val="00D85786"/>
    <w:rsid w:val="00D9226E"/>
    <w:rsid w:val="00D93306"/>
    <w:rsid w:val="00D9773D"/>
    <w:rsid w:val="00DB3D6E"/>
    <w:rsid w:val="00DB76F3"/>
    <w:rsid w:val="00DB7938"/>
    <w:rsid w:val="00DB7B46"/>
    <w:rsid w:val="00DC000D"/>
    <w:rsid w:val="00DC213C"/>
    <w:rsid w:val="00DC681C"/>
    <w:rsid w:val="00DE0F68"/>
    <w:rsid w:val="00DE19BE"/>
    <w:rsid w:val="00DE37B2"/>
    <w:rsid w:val="00DE4D52"/>
    <w:rsid w:val="00DE62B5"/>
    <w:rsid w:val="00E2184C"/>
    <w:rsid w:val="00E36A2B"/>
    <w:rsid w:val="00E37092"/>
    <w:rsid w:val="00E4064C"/>
    <w:rsid w:val="00E41534"/>
    <w:rsid w:val="00E419A4"/>
    <w:rsid w:val="00E46E71"/>
    <w:rsid w:val="00E5008C"/>
    <w:rsid w:val="00E56CE7"/>
    <w:rsid w:val="00E62187"/>
    <w:rsid w:val="00E70A2B"/>
    <w:rsid w:val="00E756D6"/>
    <w:rsid w:val="00E85809"/>
    <w:rsid w:val="00E95877"/>
    <w:rsid w:val="00E95C85"/>
    <w:rsid w:val="00E97A28"/>
    <w:rsid w:val="00EA4240"/>
    <w:rsid w:val="00EA7CA9"/>
    <w:rsid w:val="00EB06A8"/>
    <w:rsid w:val="00EC4ACF"/>
    <w:rsid w:val="00ED05EC"/>
    <w:rsid w:val="00ED149C"/>
    <w:rsid w:val="00ED41B4"/>
    <w:rsid w:val="00ED6294"/>
    <w:rsid w:val="00EE60FD"/>
    <w:rsid w:val="00EE663B"/>
    <w:rsid w:val="00F0041C"/>
    <w:rsid w:val="00F02F42"/>
    <w:rsid w:val="00F03306"/>
    <w:rsid w:val="00F12946"/>
    <w:rsid w:val="00F13E68"/>
    <w:rsid w:val="00F247A4"/>
    <w:rsid w:val="00F26716"/>
    <w:rsid w:val="00F30D44"/>
    <w:rsid w:val="00F35E00"/>
    <w:rsid w:val="00F36E98"/>
    <w:rsid w:val="00F37F32"/>
    <w:rsid w:val="00F42EF3"/>
    <w:rsid w:val="00F44C89"/>
    <w:rsid w:val="00F5639A"/>
    <w:rsid w:val="00F605E1"/>
    <w:rsid w:val="00F62135"/>
    <w:rsid w:val="00F643B7"/>
    <w:rsid w:val="00F839BA"/>
    <w:rsid w:val="00F84B05"/>
    <w:rsid w:val="00F8680F"/>
    <w:rsid w:val="00F91391"/>
    <w:rsid w:val="00FA04B2"/>
    <w:rsid w:val="00FB5436"/>
    <w:rsid w:val="00FC3375"/>
    <w:rsid w:val="00FC3871"/>
    <w:rsid w:val="00FD1F71"/>
    <w:rsid w:val="00FD2EE8"/>
    <w:rsid w:val="00FE02DE"/>
    <w:rsid w:val="00FE0CCE"/>
    <w:rsid w:val="00FF0107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331</cp:revision>
  <dcterms:created xsi:type="dcterms:W3CDTF">2018-04-16T07:32:00Z</dcterms:created>
  <dcterms:modified xsi:type="dcterms:W3CDTF">2018-11-04T08:25:00Z</dcterms:modified>
</cp:coreProperties>
</file>