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"org.capgemeni.sogeti.Consultant",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"consultantId": "CONSULTANT1",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"employee": "resource:org.capgemeni.sogeti.Employee#EMP1"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"org.capgemeni.sogeti.Consultant",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"consultantId": "CONSULTANT2",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"employee": "resource:org.capgemeni.sogeti.Employee#EMP2"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"org.capgemeni.sogeti.Consultant",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"consultantId": "CONSULTANT3",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"employee": "resource:org.capgemeni.sogeti.Employee#EMP3"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"org.capgemeni.sogeti.Consultant",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"consultantId": "CONSULTANT4",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"employee": "resource:org.capgemeni.sogeti.Employee#EMP4"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contextualSpacing w:val="0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Asset: Consultant Seed Data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