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 Request 1st Consultant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"$class": "org.capgemeni.sogeti.RequestConsultant",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"sowId": "SOW1",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"requirement1": "Deliver Accounting Web App",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"requirement2": "",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"requirement3": "",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"startDate": "4-24-2017",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"endDate": "5-14-2019",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"consultant": "resource:org.capgemeni.sogeti.Consultant#CONSULTANT1",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"client": "resource:org.capgemeni.sogeti.Client#CLIENT1"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// Request 2nd Consultant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"$class": "org.capgemeni.sogeti.RequestConsultant",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"sowId": "SOW2",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"requirement1": "PowerBI Dashboards",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"requirement2": "",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"requirement3": "",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"startDate": "5-12-2017",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"endDate": "5-14-2019",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"consultant": "resource:org.capgemeni.sogeti.Consultant#CONSULTANT2",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"client": "resource:org.capgemeni.sogeti.Client#CLIENT1"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contextualSpacing w:val="0"/>
      <w:jc w:val="center"/>
      <w:rPr>
        <w:sz w:val="48"/>
        <w:szCs w:val="48"/>
      </w:rPr>
    </w:pPr>
    <w:r w:rsidDel="00000000" w:rsidR="00000000" w:rsidRPr="00000000">
      <w:rPr>
        <w:sz w:val="48"/>
        <w:szCs w:val="48"/>
        <w:rtl w:val="0"/>
      </w:rPr>
      <w:t xml:space="preserve">Asset: Consultant Seed Data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