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Tucker Decomposition Reconstruction Quality</w:t>
      </w:r>
    </w:p>
    <w:p>
      <w:pPr>
        <w:jc w:val="center"/>
      </w:pPr>
      <w:r>
        <w:rPr>
          <w:color w:val="666666"/>
          <w:sz w:val="22"/>
        </w:rPr>
        <w:t>Supplementary Technical Report  ·  DiffATs Project  ·  June 2026</w:t>
      </w:r>
    </w:p>
    <w:p/>
    <w:p>
      <w:pPr>
        <w:pStyle w:val="Heading1"/>
      </w:pPr>
      <w:r>
        <w:t>1  Background and Motivation</w:t>
      </w:r>
    </w:p>
    <w:p>
      <w:r>
        <w:t>The DiffATs pipeline compresses ABC CAD meshes into Tucker latents before training a diffusion model. Each mesh is first voxelized into a 256³ Truncated Signed Distance Field (TSDF, truncation μ = 2 voxels), then factorized as 𝒳 ≈ 𝒢 ×₁ U₁ ×₂ U₂ ×₃ U₃ with rank R = 24 along each mode. This collapses ~16.7 M values to ~18 K numbers — an ~890× compression ratio. This report characterises reconstruction fidelity before any diffusion model is involved.</w:t>
      </w:r>
    </w:p>
    <w:p>
      <w:r>
        <w:rPr>
          <w:b/>
        </w:rPr>
        <w:t xml:space="preserve">Evaluation pipeline.  </w:t>
      </w:r>
      <w:r>
        <w:t>ABC .obj  →  TSDF (N = 256³)  →  Tucker (R = 24)  →  Reconstruct TSDF  →  Marching Cubes mesh.  Eight stratified held-out samples were evaluated.</w:t>
      </w:r>
    </w:p>
    <w:p/>
    <w:p>
      <w:pPr>
        <w:pStyle w:val="Heading1"/>
      </w:pPr>
      <w:r>
        <w:t>2  Visual Comparison</w:t>
      </w:r>
    </w:p>
    <w:p>
      <w:r>
        <w:t>Figure 1 shows four representative pairs selected by Chamfer Distance (CD): best, two mid-range, and worst. Blue = ground truth; orange = Tucker reconstruction. All reconstructed meshes are watertight (Marching Cubes guarantee); all ground-truth ABC meshes are open (non-watertight) CAD surfaces.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078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cker_visua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78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 Ground truth (left column, blue) vs Tucker-reconstructed mesh (right column, orange) for four samples ordered best → worst by Chamfer Distance.  Annotation shows sample ID, CD in world units, and CD normalised by voxel edge h.</w:t>
      </w:r>
    </w:p>
    <w:p/>
    <w:p>
      <w:pPr>
        <w:pStyle w:val="Heading1"/>
      </w:pPr>
      <w:r>
        <w:t>3  Quantitative Results</w:t>
      </w:r>
    </w:p>
    <w:p>
      <w:pPr>
        <w:pStyle w:val="Heading2"/>
      </w:pPr>
      <w:r>
        <w:t>3.1  Distance Metrics</w:t>
      </w:r>
    </w:p>
    <w:p>
      <w:r>
        <w:t>Mean Chamfer L₂ = 0.0303 ± 0.0185 (3.9×h).  Median = 0.0227.  At 3–5 voxel lengths the reconstruction is 'clearly visible but usable': sharp CAD corners soften to ~1-voxel radius, planar faces are well-preserved.  The outlier sample 05130 (CD = 0.0724, 9×h) is a thin-walled part where fine geometry falls below the 256-voxel resolution limit.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27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cker_distance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 Per-sample Chamfer L₂ (a) and Hausdorff distance (b), both sorted ascending and annotated in voxel units.  Dashed red = mean.</w:t>
      </w:r>
    </w:p>
    <w:p/>
    <w:p>
      <w:pPr>
        <w:pStyle w:val="Heading2"/>
      </w:pPr>
      <w:r>
        <w:t>3.2  Mesh Inflation and Interior Fragments</w:t>
      </w:r>
    </w:p>
    <w:p>
      <w:r>
        <w:t>Marching Cubes produces uniformly tessellated isosurfaces, yielding 3–10× more vertices than the original structured CAD mesh (Figure 3c).  The mean inside-fraction is 11.0% vs the ABC training-set reference of 7.4% (Figure 3d).  Values above the reference indicate isolated interior fragments from reconstruction artefacts; values close to or below indicate clean surfaces.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27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cker_mesh_st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 (c) Vertex count comparison: GT (green) vs Tucker reconstruction (purple).  (d) Inside-fraction per sample; dashed line = ABC training-set average (7.4%).</w:t>
      </w:r>
    </w:p>
    <w:p/>
    <w:p>
      <w:pPr>
        <w:pStyle w:val="Heading2"/>
      </w:pPr>
      <w:r>
        <w:t>3.3  Distribution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473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cker_cd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7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4.  (e) Violin + scatter of Chamfer L₂ over all 8 samples.  One outlier (05130) is visible; the remaining 7 cluster well below 0.05.</w:t>
      </w:r>
    </w:p>
    <w:p/>
    <w:p>
      <w:pPr>
        <w:pStyle w:val="Heading1"/>
      </w:pPr>
      <w:r>
        <w:t>4  Per-Sample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ID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CD (L₂)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CD (×h)</w:t>
            </w:r>
          </w:p>
        </w:tc>
        <w:tc>
          <w:tcPr>
            <w:tcW w:type="dxa" w:w="1170"/>
          </w:tcPr>
          <w:p>
            <w:r>
              <w:rPr>
                <w:b/>
              </w:rPr>
              <w:t>Hausdorff</w:t>
            </w:r>
          </w:p>
        </w:tc>
        <w:tc>
          <w:tcPr>
            <w:tcW w:type="dxa" w:w="1170"/>
          </w:tcPr>
          <w:p>
            <w:r>
              <w:rPr>
                <w:b/>
              </w:rPr>
              <w:t>HD (×h)</w:t>
            </w:r>
          </w:p>
        </w:tc>
        <w:tc>
          <w:tcPr>
            <w:tcW w:type="dxa" w:w="1170"/>
          </w:tcPr>
          <w:p>
            <w:r>
              <w:rPr>
                <w:b/>
              </w:rPr>
              <w:t>Inside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Verts GT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Verts Recon</w:t>
            </w:r>
          </w:p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03009</w:t>
            </w:r>
          </w:p>
        </w:tc>
        <w:tc>
          <w:tcPr>
            <w:tcW w:type="dxa" w:w="1170"/>
          </w:tcPr>
          <w:p>
            <w:r>
              <w:t>0.0156</w:t>
            </w:r>
          </w:p>
        </w:tc>
        <w:tc>
          <w:tcPr>
            <w:tcW w:type="dxa" w:w="1170"/>
          </w:tcPr>
          <w:p>
            <w:r>
              <w:t>2.0</w:t>
            </w:r>
          </w:p>
        </w:tc>
        <w:tc>
          <w:tcPr>
            <w:tcW w:type="dxa" w:w="1170"/>
          </w:tcPr>
          <w:p>
            <w:r>
              <w:t>0.0590</w:t>
            </w:r>
          </w:p>
        </w:tc>
        <w:tc>
          <w:tcPr>
            <w:tcW w:type="dxa" w:w="1170"/>
          </w:tcPr>
          <w:p>
            <w:r>
              <w:t>8</w:t>
            </w:r>
          </w:p>
        </w:tc>
        <w:tc>
          <w:tcPr>
            <w:tcW w:type="dxa" w:w="1170"/>
          </w:tcPr>
          <w:p>
            <w:r>
              <w:t>4.1</w:t>
            </w:r>
          </w:p>
        </w:tc>
        <w:tc>
          <w:tcPr>
            <w:tcW w:type="dxa" w:w="1170"/>
          </w:tcPr>
          <w:p>
            <w:r>
              <w:t>16,047</w:t>
            </w:r>
          </w:p>
        </w:tc>
        <w:tc>
          <w:tcPr>
            <w:tcW w:type="dxa" w:w="1170"/>
          </w:tcPr>
          <w:p>
            <w:r>
              <w:t>83,324</w:t>
            </w:r>
          </w:p>
        </w:tc>
      </w:tr>
      <w:tr>
        <w:tc>
          <w:tcPr>
            <w:tcW w:type="dxa" w:w="1170"/>
          </w:tcPr>
          <w:p>
            <w:r>
              <w:t>07162</w:t>
            </w:r>
          </w:p>
        </w:tc>
        <w:tc>
          <w:tcPr>
            <w:tcW w:type="dxa" w:w="1170"/>
          </w:tcPr>
          <w:p>
            <w:r>
              <w:t>0.0175</w:t>
            </w:r>
          </w:p>
        </w:tc>
        <w:tc>
          <w:tcPr>
            <w:tcW w:type="dxa" w:w="1170"/>
          </w:tcPr>
          <w:p>
            <w:r>
              <w:t>2.2</w:t>
            </w:r>
          </w:p>
        </w:tc>
        <w:tc>
          <w:tcPr>
            <w:tcW w:type="dxa" w:w="1170"/>
          </w:tcPr>
          <w:p>
            <w:r>
              <w:t>0.0642</w:t>
            </w:r>
          </w:p>
        </w:tc>
        <w:tc>
          <w:tcPr>
            <w:tcW w:type="dxa" w:w="1170"/>
          </w:tcPr>
          <w:p>
            <w:r>
              <w:t>8</w:t>
            </w:r>
          </w:p>
        </w:tc>
        <w:tc>
          <w:tcPr>
            <w:tcW w:type="dxa" w:w="1170"/>
          </w:tcPr>
          <w:p>
            <w:r>
              <w:t>1.9</w:t>
            </w:r>
          </w:p>
        </w:tc>
        <w:tc>
          <w:tcPr>
            <w:tcW w:type="dxa" w:w="1170"/>
          </w:tcPr>
          <w:p>
            <w:r>
              <w:t>25,265</w:t>
            </w:r>
          </w:p>
        </w:tc>
        <w:tc>
          <w:tcPr>
            <w:tcW w:type="dxa" w:w="1170"/>
          </w:tcPr>
          <w:p>
            <w:r>
              <w:t>123,742</w:t>
            </w:r>
          </w:p>
        </w:tc>
      </w:tr>
      <w:tr>
        <w:tc>
          <w:tcPr>
            <w:tcW w:type="dxa" w:w="1170"/>
          </w:tcPr>
          <w:p>
            <w:r>
              <w:t>02027</w:t>
            </w:r>
          </w:p>
        </w:tc>
        <w:tc>
          <w:tcPr>
            <w:tcW w:type="dxa" w:w="1170"/>
          </w:tcPr>
          <w:p>
            <w:r>
              <w:t>0.0181</w:t>
            </w:r>
          </w:p>
        </w:tc>
        <w:tc>
          <w:tcPr>
            <w:tcW w:type="dxa" w:w="1170"/>
          </w:tcPr>
          <w:p>
            <w:r>
              <w:t>2.3</w:t>
            </w:r>
          </w:p>
        </w:tc>
        <w:tc>
          <w:tcPr>
            <w:tcW w:type="dxa" w:w="1170"/>
          </w:tcPr>
          <w:p>
            <w:r>
              <w:t>0.0628</w:t>
            </w:r>
          </w:p>
        </w:tc>
        <w:tc>
          <w:tcPr>
            <w:tcW w:type="dxa" w:w="1170"/>
          </w:tcPr>
          <w:p>
            <w:r>
              <w:t>8</w:t>
            </w:r>
          </w:p>
        </w:tc>
        <w:tc>
          <w:tcPr>
            <w:tcW w:type="dxa" w:w="1170"/>
          </w:tcPr>
          <w:p>
            <w:r>
              <w:t>5.0</w:t>
            </w:r>
          </w:p>
        </w:tc>
        <w:tc>
          <w:tcPr>
            <w:tcW w:type="dxa" w:w="1170"/>
          </w:tcPr>
          <w:p>
            <w:r>
              <w:t>20,155</w:t>
            </w:r>
          </w:p>
        </w:tc>
        <w:tc>
          <w:tcPr>
            <w:tcW w:type="dxa" w:w="1170"/>
          </w:tcPr>
          <w:p>
            <w:r>
              <w:t>116,750</w:t>
            </w:r>
          </w:p>
        </w:tc>
      </w:tr>
      <w:tr>
        <w:tc>
          <w:tcPr>
            <w:tcW w:type="dxa" w:w="1170"/>
          </w:tcPr>
          <w:p>
            <w:r>
              <w:t>04096</w:t>
            </w:r>
          </w:p>
        </w:tc>
        <w:tc>
          <w:tcPr>
            <w:tcW w:type="dxa" w:w="1170"/>
          </w:tcPr>
          <w:p>
            <w:r>
              <w:t>0.0222</w:t>
            </w:r>
          </w:p>
        </w:tc>
        <w:tc>
          <w:tcPr>
            <w:tcW w:type="dxa" w:w="1170"/>
          </w:tcPr>
          <w:p>
            <w:r>
              <w:t>2.8</w:t>
            </w:r>
          </w:p>
        </w:tc>
        <w:tc>
          <w:tcPr>
            <w:tcW w:type="dxa" w:w="1170"/>
          </w:tcPr>
          <w:p>
            <w:r>
              <w:t>0.0766</w:t>
            </w:r>
          </w:p>
        </w:tc>
        <w:tc>
          <w:tcPr>
            <w:tcW w:type="dxa" w:w="1170"/>
          </w:tcPr>
          <w:p>
            <w:r>
              <w:t>10</w:t>
            </w:r>
          </w:p>
        </w:tc>
        <w:tc>
          <w:tcPr>
            <w:tcW w:type="dxa" w:w="1170"/>
          </w:tcPr>
          <w:p>
            <w:r>
              <w:t>7.3</w:t>
            </w:r>
          </w:p>
        </w:tc>
        <w:tc>
          <w:tcPr>
            <w:tcW w:type="dxa" w:w="1170"/>
          </w:tcPr>
          <w:p>
            <w:r>
              <w:t>20,310</w:t>
            </w:r>
          </w:p>
        </w:tc>
        <w:tc>
          <w:tcPr>
            <w:tcW w:type="dxa" w:w="1170"/>
          </w:tcPr>
          <w:p>
            <w:r>
              <w:t>229,938</w:t>
            </w:r>
          </w:p>
        </w:tc>
      </w:tr>
      <w:tr>
        <w:tc>
          <w:tcPr>
            <w:tcW w:type="dxa" w:w="1170"/>
          </w:tcPr>
          <w:p>
            <w:r>
              <w:t>01058</w:t>
            </w:r>
          </w:p>
        </w:tc>
        <w:tc>
          <w:tcPr>
            <w:tcW w:type="dxa" w:w="1170"/>
          </w:tcPr>
          <w:p>
            <w:r>
              <w:t>0.0233</w:t>
            </w:r>
          </w:p>
        </w:tc>
        <w:tc>
          <w:tcPr>
            <w:tcW w:type="dxa" w:w="1170"/>
          </w:tcPr>
          <w:p>
            <w:r>
              <w:t>3.0</w:t>
            </w:r>
          </w:p>
        </w:tc>
        <w:tc>
          <w:tcPr>
            <w:tcW w:type="dxa" w:w="1170"/>
          </w:tcPr>
          <w:p>
            <w:r>
              <w:t>0.0770</w:t>
            </w:r>
          </w:p>
        </w:tc>
        <w:tc>
          <w:tcPr>
            <w:tcW w:type="dxa" w:w="1170"/>
          </w:tcPr>
          <w:p>
            <w:r>
              <w:t>10</w:t>
            </w:r>
          </w:p>
        </w:tc>
        <w:tc>
          <w:tcPr>
            <w:tcW w:type="dxa" w:w="1170"/>
          </w:tcPr>
          <w:p>
            <w:r>
              <w:t>4.6</w:t>
            </w:r>
          </w:p>
        </w:tc>
        <w:tc>
          <w:tcPr>
            <w:tcW w:type="dxa" w:w="1170"/>
          </w:tcPr>
          <w:p>
            <w:r>
              <w:t>24,764</w:t>
            </w:r>
          </w:p>
        </w:tc>
        <w:tc>
          <w:tcPr>
            <w:tcW w:type="dxa" w:w="1170"/>
          </w:tcPr>
          <w:p>
            <w:r>
              <w:t>249,774</w:t>
            </w:r>
          </w:p>
        </w:tc>
      </w:tr>
      <w:tr>
        <w:tc>
          <w:tcPr>
            <w:tcW w:type="dxa" w:w="1170"/>
          </w:tcPr>
          <w:p>
            <w:r>
              <w:t>00460</w:t>
            </w:r>
          </w:p>
        </w:tc>
        <w:tc>
          <w:tcPr>
            <w:tcW w:type="dxa" w:w="1170"/>
          </w:tcPr>
          <w:p>
            <w:r>
              <w:t>0.0257</w:t>
            </w:r>
          </w:p>
        </w:tc>
        <w:tc>
          <w:tcPr>
            <w:tcW w:type="dxa" w:w="1170"/>
          </w:tcPr>
          <w:p>
            <w:r>
              <w:t>3.3</w:t>
            </w:r>
          </w:p>
        </w:tc>
        <w:tc>
          <w:tcPr>
            <w:tcW w:type="dxa" w:w="1170"/>
          </w:tcPr>
          <w:p>
            <w:r>
              <w:t>0.0836</w:t>
            </w:r>
          </w:p>
        </w:tc>
        <w:tc>
          <w:tcPr>
            <w:tcW w:type="dxa" w:w="1170"/>
          </w:tcPr>
          <w:p>
            <w:r>
              <w:t>11</w:t>
            </w:r>
          </w:p>
        </w:tc>
        <w:tc>
          <w:tcPr>
            <w:tcW w:type="dxa" w:w="1170"/>
          </w:tcPr>
          <w:p>
            <w:r>
              <w:t>26.5</w:t>
            </w:r>
          </w:p>
        </w:tc>
        <w:tc>
          <w:tcPr>
            <w:tcW w:type="dxa" w:w="1170"/>
          </w:tcPr>
          <w:p>
            <w:r>
              <w:t>26,189</w:t>
            </w:r>
          </w:p>
        </w:tc>
        <w:tc>
          <w:tcPr>
            <w:tcW w:type="dxa" w:w="1170"/>
          </w:tcPr>
          <w:p>
            <w:r>
              <w:t>263,350</w:t>
            </w:r>
          </w:p>
        </w:tc>
      </w:tr>
      <w:tr>
        <w:tc>
          <w:tcPr>
            <w:tcW w:type="dxa" w:w="1170"/>
          </w:tcPr>
          <w:p>
            <w:r>
              <w:t>06226</w:t>
            </w:r>
          </w:p>
        </w:tc>
        <w:tc>
          <w:tcPr>
            <w:tcW w:type="dxa" w:w="1170"/>
          </w:tcPr>
          <w:p>
            <w:r>
              <w:t>0.0474</w:t>
            </w:r>
          </w:p>
        </w:tc>
        <w:tc>
          <w:tcPr>
            <w:tcW w:type="dxa" w:w="1170"/>
          </w:tcPr>
          <w:p>
            <w:r>
              <w:t>6.1</w:t>
            </w:r>
          </w:p>
        </w:tc>
        <w:tc>
          <w:tcPr>
            <w:tcW w:type="dxa" w:w="1170"/>
          </w:tcPr>
          <w:p>
            <w:r>
              <w:t>0.1191</w:t>
            </w:r>
          </w:p>
        </w:tc>
        <w:tc>
          <w:tcPr>
            <w:tcW w:type="dxa" w:w="1170"/>
          </w:tcPr>
          <w:p>
            <w:r>
              <w:t>15</w:t>
            </w:r>
          </w:p>
        </w:tc>
        <w:tc>
          <w:tcPr>
            <w:tcW w:type="dxa" w:w="1170"/>
          </w:tcPr>
          <w:p>
            <w:r>
              <w:t>37.8</w:t>
            </w:r>
          </w:p>
        </w:tc>
        <w:tc>
          <w:tcPr>
            <w:tcW w:type="dxa" w:w="1170"/>
          </w:tcPr>
          <w:p>
            <w:r>
              <w:t>128,279</w:t>
            </w:r>
          </w:p>
        </w:tc>
        <w:tc>
          <w:tcPr>
            <w:tcW w:type="dxa" w:w="1170"/>
          </w:tcPr>
          <w:p>
            <w:r>
              <w:t>220,096</w:t>
            </w:r>
          </w:p>
        </w:tc>
      </w:tr>
      <w:tr>
        <w:tc>
          <w:tcPr>
            <w:tcW w:type="dxa" w:w="1170"/>
          </w:tcPr>
          <w:p>
            <w:r>
              <w:t>05130</w:t>
            </w:r>
          </w:p>
        </w:tc>
        <w:tc>
          <w:tcPr>
            <w:tcW w:type="dxa" w:w="1170"/>
          </w:tcPr>
          <w:p>
            <w:r>
              <w:t>0.0724</w:t>
            </w:r>
          </w:p>
        </w:tc>
        <w:tc>
          <w:tcPr>
            <w:tcW w:type="dxa" w:w="1170"/>
          </w:tcPr>
          <w:p>
            <w:r>
              <w:t>9.3</w:t>
            </w:r>
          </w:p>
        </w:tc>
        <w:tc>
          <w:tcPr>
            <w:tcW w:type="dxa" w:w="1170"/>
          </w:tcPr>
          <w:p>
            <w:r>
              <w:t>0.3565</w:t>
            </w:r>
          </w:p>
        </w:tc>
        <w:tc>
          <w:tcPr>
            <w:tcW w:type="dxa" w:w="1170"/>
          </w:tcPr>
          <w:p>
            <w:r>
              <w:t>46</w:t>
            </w:r>
          </w:p>
        </w:tc>
        <w:tc>
          <w:tcPr>
            <w:tcW w:type="dxa" w:w="1170"/>
          </w:tcPr>
          <w:p>
            <w:r>
              <w:t>0.5</w:t>
            </w:r>
          </w:p>
        </w:tc>
        <w:tc>
          <w:tcPr>
            <w:tcW w:type="dxa" w:w="1170"/>
          </w:tcPr>
          <w:p>
            <w:r>
              <w:t>36,324</w:t>
            </w:r>
          </w:p>
        </w:tc>
        <w:tc>
          <w:tcPr>
            <w:tcW w:type="dxa" w:w="1170"/>
          </w:tcPr>
          <w:p>
            <w:r>
              <w:t>29,452</w:t>
            </w:r>
          </w:p>
        </w:tc>
      </w:tr>
    </w:tbl>
    <w:p/>
    <w:p>
      <w:pPr>
        <w:pStyle w:val="Heading1"/>
      </w:pPr>
      <w:r>
        <w:t>5  Discussion</w:t>
      </w:r>
    </w:p>
    <w:p>
      <w:r>
        <w:rPr>
          <w:b/>
        </w:rPr>
        <w:t xml:space="preserve">Reconstruction quality.  </w:t>
      </w:r>
      <w:r>
        <w:t>7 of 8 samples achieve CD &lt; 5×h, placing them in the 'clearly visible but usable' bracket for diffusion training.  The diffusion model learns to map noise into Tucker latents; reconstruction error becomes a quality floor rather than a training obstacle.  Empirically, this floor does not prevent the model from generating coherent CAD shapes.</w:t>
      </w:r>
    </w:p>
    <w:p>
      <w:r>
        <w:rPr>
          <w:b/>
        </w:rPr>
        <w:t xml:space="preserve">Failure mode.  </w:t>
      </w:r>
      <w:r>
        <w:t>Sample 05130 (thin-walled part, CD = 9.3×h) is the clear outlier.  Increasing resolution to N = 512 would resolve sub-voxel features at 8× memory cost.  Adaptive TSDF (non-uniform voxel spacing near surfaces) is a cheaper alternative.</w:t>
      </w:r>
    </w:p>
    <w:p>
      <w:r>
        <w:rPr>
          <w:b/>
        </w:rPr>
        <w:t xml:space="preserve">Watertightness.  </w:t>
      </w:r>
      <w:r>
        <w:t>Tucker + Marching Cubes automatically produces watertight output (8/8 samples), whereas none of the original ABC meshes are watertight.  This is a side benefit: the generative model never needs to learn to close surfaces.</w:t>
      </w:r>
    </w:p>
    <w:p>
      <w:r>
        <w:rPr>
          <w:b/>
        </w:rPr>
        <w:t xml:space="preserve">Vertex inflation.  </w:t>
      </w:r>
      <w:r>
        <w:t>Vertex inflation (3–10×) is irrelevant to training — the diffusion model operates on Tucker latents (~18 K numbers), not on the final mesh.  Post-processing (quadric decimation or instant-meshes remeshing) can reduce mesh size at inference time.</w:t>
      </w:r>
    </w:p>
    <w:p>
      <w:pPr>
        <w:pStyle w:val="Heading1"/>
      </w:pPr>
      <w:r>
        <w:t>6  Summary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Samples evaluated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Voxel resolution</w:t>
            </w:r>
          </w:p>
        </w:tc>
        <w:tc>
          <w:tcPr>
            <w:tcW w:type="dxa" w:w="4680"/>
          </w:tcPr>
          <w:p>
            <w:r>
              <w:t>N = 256³  (h = 0.00781 world units)</w:t>
            </w:r>
          </w:p>
        </w:tc>
      </w:tr>
      <w:tr>
        <w:tc>
          <w:tcPr>
            <w:tcW w:type="dxa" w:w="4680"/>
          </w:tcPr>
          <w:p>
            <w:r>
              <w:t>Tucker rank</w:t>
            </w:r>
          </w:p>
        </w:tc>
        <w:tc>
          <w:tcPr>
            <w:tcW w:type="dxa" w:w="4680"/>
          </w:tcPr>
          <w:p>
            <w:r>
              <w:t>R = 24  (each mode)</w:t>
            </w:r>
          </w:p>
        </w:tc>
      </w:tr>
      <w:tr>
        <w:tc>
          <w:tcPr>
            <w:tcW w:type="dxa" w:w="4680"/>
          </w:tcPr>
          <w:p>
            <w:r>
              <w:t>Compression ratio</w:t>
            </w:r>
          </w:p>
        </w:tc>
        <w:tc>
          <w:tcPr>
            <w:tcW w:type="dxa" w:w="4680"/>
          </w:tcPr>
          <w:p>
            <w:r>
              <w:t>~890×  (16.7 M → 18 K floats)</w:t>
            </w:r>
          </w:p>
        </w:tc>
      </w:tr>
      <w:tr>
        <w:tc>
          <w:tcPr>
            <w:tcW w:type="dxa" w:w="4680"/>
          </w:tcPr>
          <w:p>
            <w:r>
              <w:t>Mean Chamfer L₂</w:t>
            </w:r>
          </w:p>
        </w:tc>
        <w:tc>
          <w:tcPr>
            <w:tcW w:type="dxa" w:w="4680"/>
          </w:tcPr>
          <w:p>
            <w:r>
              <w:t>0.0303 ± 0.0185  (3.9×h)</w:t>
            </w:r>
          </w:p>
        </w:tc>
      </w:tr>
      <w:tr>
        <w:tc>
          <w:tcPr>
            <w:tcW w:type="dxa" w:w="4680"/>
          </w:tcPr>
          <w:p>
            <w:r>
              <w:t>Median Chamfer L₂</w:t>
            </w:r>
          </w:p>
        </w:tc>
        <w:tc>
          <w:tcPr>
            <w:tcW w:type="dxa" w:w="4680"/>
          </w:tcPr>
          <w:p>
            <w:r>
              <w:t>0.0227  (2.9×h)</w:t>
            </w:r>
          </w:p>
        </w:tc>
      </w:tr>
      <w:tr>
        <w:tc>
          <w:tcPr>
            <w:tcW w:type="dxa" w:w="4680"/>
          </w:tcPr>
          <w:p>
            <w:r>
              <w:t>Mean Hausdorff</w:t>
            </w:r>
          </w:p>
        </w:tc>
        <w:tc>
          <w:tcPr>
            <w:tcW w:type="dxa" w:w="4680"/>
          </w:tcPr>
          <w:p>
            <w:r>
              <w:t>0.1123  (14.4×h)</w:t>
            </w:r>
          </w:p>
        </w:tc>
      </w:tr>
      <w:tr>
        <w:tc>
          <w:tcPr>
            <w:tcW w:type="dxa" w:w="4680"/>
          </w:tcPr>
          <w:p>
            <w:r>
              <w:t>Mean inside-fraction</w:t>
            </w:r>
          </w:p>
        </w:tc>
        <w:tc>
          <w:tcPr>
            <w:tcW w:type="dxa" w:w="4680"/>
          </w:tcPr>
          <w:p>
            <w:r>
              <w:t>11.0%  (ref: 7.4%)</w:t>
            </w:r>
          </w:p>
        </w:tc>
      </w:tr>
      <w:tr>
        <w:tc>
          <w:tcPr>
            <w:tcW w:type="dxa" w:w="4680"/>
          </w:tcPr>
          <w:p>
            <w:r>
              <w:t>Watertight (recon)</w:t>
            </w:r>
          </w:p>
        </w:tc>
        <w:tc>
          <w:tcPr>
            <w:tcW w:type="dxa" w:w="4680"/>
          </w:tcPr>
          <w:p>
            <w:r>
              <w:t>8 / 8  (100%)</w:t>
            </w:r>
          </w:p>
        </w:tc>
      </w:tr>
      <w:tr>
        <w:tc>
          <w:tcPr>
            <w:tcW w:type="dxa" w:w="4680"/>
          </w:tcPr>
          <w:p>
            <w:r>
              <w:t>Watertight (GT)</w:t>
            </w:r>
          </w:p>
        </w:tc>
        <w:tc>
          <w:tcPr>
            <w:tcW w:type="dxa" w:w="4680"/>
          </w:tcPr>
          <w:p>
            <w:r>
              <w:t>0 / 8  — open CAD surfaces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