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8"/>
        </w:rPr>
        <w:t>Motion-Level VLA Safety: a Carried-Hazard-to-Human Clearance Benchmark</w:t>
      </w:r>
    </w:p>
    <w:p>
      <w:pPr>
        <w:spacing w:after="120"/>
        <w:jc w:val="center"/>
      </w:pPr>
      <w:r>
        <w:rPr>
          <w:i/>
          <w:sz w:val="18"/>
        </w:rPr>
        <w:t>Literature review + working prototype — progress report, 2026-07-26</w:t>
      </w:r>
    </w:p>
    <w:p>
      <w:r>
        <w:rPr>
          <w:b/>
          <w:color w:val="1F3A5F"/>
          <w:sz w:val="21"/>
        </w:rPr>
        <w:t>1. Problem and the open gap</w:t>
      </w:r>
    </w:p>
    <w:p>
      <w:pPr>
        <w:spacing w:after="80"/>
      </w:pPr>
      <w:r>
        <w:t>VLA-policy safety (2025–26) is well developed in three areas: adversarial robustness (BadVLA, physical patches), instruction-level refusal (SafeAgentBench, AGENTSAFE), and a new 2026 wave of trajectory / physical-safety benchmarks (SafeVLA-Bench, ForesightSafety-VLA, LIBERO-Safety, SafeManip, OopsieVerse) that show current VLAs routinely succeed while being unsafe — e.g. 36–56% of successful RoboCasa rollouts violate a safety clause. No existing benchmark, however, scores whether a policy proactively keeps a dangerous CARRIED object (knife, hot liquid) clear of a PERSON on a benign, completable task. That intersection — human-in-scene x carried-hazard semantics x continuous clearance x proactive routing — is open.</w:t>
      </w:r>
    </w:p>
    <w:p>
      <w:r>
        <w:rPr>
          <w:b/>
          <w:color w:val="1F3A5F"/>
          <w:sz w:val="21"/>
        </w:rPr>
        <w:t>2. Positioning vs. the nearest work</w:t>
      </w:r>
    </w:p>
    <w:p>
      <w:pPr>
        <w:pStyle w:val="ListBullet"/>
        <w:spacing w:after="20"/>
      </w:pPr>
      <w:r>
        <w:rPr>
          <w:sz w:val="19"/>
        </w:rPr>
        <w:t>ANNIE (arXiv:2509.03383): an adversarial ATTACK framework — binary threshold violation, scores the end-effector not the payload, static human. Orthogonal to a benign proactive benchmark.</w:t>
      </w:r>
    </w:p>
    <w:p>
      <w:pPr>
        <w:pStyle w:val="ListBullet"/>
        <w:spacing w:after="20"/>
      </w:pPr>
      <w:r>
        <w:rPr>
          <w:sz w:val="19"/>
        </w:rPr>
        <w:t>LIBERO-Safety (ECCV 2026): a human proxy is present, but it is a moving HAND scored by BINARY collision; no continuous clearance and no dangerous carried payload.</w:t>
      </w:r>
    </w:p>
    <w:p>
      <w:pPr>
        <w:pStyle w:val="ListBullet"/>
        <w:spacing w:after="20"/>
      </w:pPr>
      <w:r>
        <w:rPr>
          <w:sz w:val="19"/>
        </w:rPr>
        <w:t>Ribeiro et al. (RO-MAN 2025): the carried object enters a human-comfort field by GEOMETRY, not by danger class. Our contribution: a continuous carried-hazard-to-person clearance metric plus a proactive (aware-vs-blind) routing score, on a learned VLA, with a full-body moving human.</w:t>
      </w:r>
    </w:p>
    <w:p>
      <w:r>
        <w:rPr>
          <w:b/>
          <w:color w:val="1F3A5F"/>
          <w:sz w:val="21"/>
        </w:rPr>
        <w:t>3. Proposed benchmark</w:t>
      </w:r>
    </w:p>
    <w:p>
      <w:pPr>
        <w:pStyle w:val="ListBullet"/>
        <w:spacing w:after="20"/>
      </w:pPr>
      <w:r>
        <w:rPr>
          <w:sz w:val="19"/>
        </w:rPr>
        <w:t>Host: RoboCasa / robosuite (MuJoCo) — signed clearance is a built-in primitive (mj_geomDistance) and results are directly comparable with LIBERO-Safety / SafeVLA-Bench.</w:t>
      </w:r>
    </w:p>
    <w:p>
      <w:pPr>
        <w:pStyle w:val="ListBullet"/>
        <w:spacing w:after="20"/>
      </w:pPr>
      <w:r>
        <w:rPr>
          <w:sz w:val="19"/>
        </w:rPr>
        <w:t>Scene: a benign task + a carried knife / hot-liquid hazard + a full-body moving human (SMPL-X driven by AMASS motion data).</w:t>
      </w:r>
    </w:p>
    <w:p>
      <w:pPr>
        <w:pStyle w:val="ListBullet"/>
        <w:spacing w:after="20"/>
      </w:pPr>
      <w:r>
        <w:rPr>
          <w:sz w:val="19"/>
        </w:rPr>
        <w:t>Metrics: STL clearance robustness (cf. SafeVLA-Bench SBU/VSI) + hazard-exposure RET/CC (cf. ForesightSafety-VLA) + aware-vs-blind proactivity (the distinguishing contribution).</w:t>
      </w:r>
    </w:p>
    <w:p>
      <w:pPr>
        <w:pStyle w:val="ListBullet"/>
        <w:spacing w:after="20"/>
      </w:pPr>
      <w:r>
        <w:rPr>
          <w:sz w:val="19"/>
        </w:rPr>
        <w:t>Eval set: SmolVLA (bring-up) -&gt; OpenVLA-7B + pi0.5 (standard) -&gt; GR00T-N1.7 (Isaac-native).</w:t>
      </w:r>
    </w:p>
    <w:p>
      <w:r>
        <w:rPr>
          <w:b/>
          <w:color w:val="1F3A5F"/>
          <w:sz w:val="21"/>
        </w:rPr>
        <w:t>4. Prototype (working)</w:t>
      </w:r>
    </w:p>
    <w:p>
      <w:pPr>
        <w:spacing w:after="80"/>
      </w:pPr>
      <w:r>
        <w:t>The aware/blind experiment was reproduced in the RoboCasa/MuJoCo stack; the carried knife's clearance to the human is measured every timestep. SmolVLA was connected end-to-end on a 4 GB laptop (loads, drives the arm, clearance logged), validating the full policy -&gt; env -&gt; metric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2102"/>
          </w:tcPr>
          <w:p>
            <w:r>
              <w:rPr>
                <w:b/>
                <w:sz w:val="17"/>
              </w:rPr>
              <w:t>min clearance (m)</w:t>
            </w:r>
          </w:p>
        </w:tc>
        <w:tc>
          <w:tcPr>
            <w:tcW w:type="dxa" w:w="2102"/>
          </w:tcPr>
          <w:p>
            <w:r>
              <w:rPr>
                <w:b/>
                <w:sz w:val="17"/>
              </w:rPr>
              <w:t>safe?</w:t>
            </w:r>
          </w:p>
        </w:tc>
        <w:tc>
          <w:tcPr>
            <w:tcW w:type="dxa" w:w="2102"/>
          </w:tcPr>
          <w:p>
            <w:r>
              <w:rPr>
                <w:b/>
                <w:sz w:val="17"/>
              </w:rPr>
              <w:t>exposure</w:t>
            </w:r>
          </w:p>
        </w:tc>
        <w:tc>
          <w:tcPr>
            <w:tcW w:type="dxa" w:w="2102"/>
          </w:tcPr>
          <w:p>
            <w:r>
              <w:rPr>
                <w:b/>
                <w:sz w:val="17"/>
              </w:rPr>
              <w:t>cumulative cost</w:t>
            </w:r>
          </w:p>
        </w:tc>
      </w:tr>
      <w:tr>
        <w:tc>
          <w:tcPr>
            <w:tcW w:type="dxa" w:w="2102"/>
          </w:tcPr>
          <w:p>
            <w:r>
              <w:rPr>
                <w:sz w:val="17"/>
              </w:rPr>
              <w:t>aware (detour)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+0.159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0 / 200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2102"/>
          </w:tcPr>
          <w:p>
            <w:r>
              <w:rPr>
                <w:sz w:val="17"/>
              </w:rPr>
              <w:t>blind (straight)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-0.047  (knife penetrates human)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32 / 200</w:t>
            </w:r>
          </w:p>
        </w:tc>
        <w:tc>
          <w:tcPr>
            <w:tcW w:type="dxa" w:w="2102"/>
          </w:tcPr>
          <w:p>
            <w:r>
              <w:rPr>
                <w:sz w:val="17"/>
              </w:rPr>
              <w:t>2.703</w:t>
            </w:r>
          </w:p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06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anc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0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A5F"/>
          <w:sz w:val="21"/>
        </w:rPr>
        <w:t>5. Decisions and asks for the advisor</w:t>
      </w:r>
    </w:p>
    <w:p>
      <w:pPr>
        <w:pStyle w:val="ListBullet"/>
        <w:spacing w:after="20"/>
      </w:pPr>
      <w:r>
        <w:rPr>
          <w:sz w:val="19"/>
        </w:rPr>
        <w:t>Framing: benchmark-first (the metric is the contribution); a safety method / filter comes later.</w:t>
      </w:r>
    </w:p>
    <w:p>
      <w:pPr>
        <w:pStyle w:val="ListBullet"/>
        <w:spacing w:after="20"/>
      </w:pPr>
      <w:r>
        <w:rPr>
          <w:sz w:val="19"/>
        </w:rPr>
        <w:t>Host: adopt RoboCasa/MuJoCo (comparability + a free clearance primitive); keep Isaac Sim for a later real-hazard-physics variant.</w:t>
      </w:r>
    </w:p>
    <w:p>
      <w:pPr>
        <w:pStyle w:val="ListBullet"/>
        <w:spacing w:after="20"/>
      </w:pPr>
      <w:r>
        <w:rPr>
          <w:sz w:val="19"/>
        </w:rPr>
        <w:t>Compute: a &gt;=16 GB, render-capable GPU for the standard eval set (GR00T-N1.7 runs at 16 GB).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