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0"/>
        </w:rPr>
        <w:t>Recent Work on VLA Safety: Main Risks, Evaluation Benchmarks, and a Proposed Direction</w:t>
      </w:r>
    </w:p>
    <w:p>
      <w:pPr>
        <w:spacing w:after="160"/>
        <w:jc w:val="center"/>
      </w:pPr>
      <w:r>
        <w:rPr>
          <w:i/>
          <w:sz w:val="20"/>
        </w:rPr>
        <w:t>Literature review and ideas — Zijian Su</w:t>
      </w:r>
    </w:p>
    <w:p>
      <w:pPr>
        <w:spacing w:before="160" w:after="60"/>
      </w:pPr>
      <w:r>
        <w:rPr>
          <w:b/>
          <w:color w:val="1F3A5F"/>
          <w:sz w:val="26"/>
        </w:rPr>
        <w:t>1. Scope</w:t>
      </w:r>
    </w:p>
    <w:p>
      <w:pPr>
        <w:spacing w:after="120"/>
      </w:pPr>
      <w:r>
        <w:t>Vision-Language-Action (VLA) models map an instruction and camera images directly to low-level robot actions. As they move from lab demos toward deployment around people, safety becomes central. This note summarises (i) the main safety risks identified in recent work (2024-2026), (ii) the evaluation benchmarks that now exist, and (iii) a gap I think is worth pursuing, with a concrete proposal.</w:t>
      </w:r>
    </w:p>
    <w:p>
      <w:pPr>
        <w:spacing w:before="160" w:after="60"/>
      </w:pPr>
      <w:r>
        <w:rPr>
          <w:b/>
          <w:color w:val="1F3A5F"/>
          <w:sz w:val="26"/>
        </w:rPr>
        <w:t>2. Main safety risks</w:t>
      </w:r>
    </w:p>
    <w:p>
      <w:pPr>
        <w:spacing w:after="120"/>
      </w:pPr>
      <w:r>
        <w:t>The risks fall into two families: those where an attacker is present, and those where the policy becomes unsafe on its own.</w:t>
      </w:r>
    </w:p>
    <w:p>
      <w:r>
        <w:rPr>
          <w:b/>
          <w:sz w:val="21"/>
        </w:rPr>
        <w:t>A. Adversarial (the policy is attacked).</w:t>
      </w:r>
    </w:p>
    <w:p>
      <w:pPr>
        <w:pStyle w:val="ListBullet"/>
        <w:spacing w:after="40"/>
      </w:pPr>
      <w:r>
        <w:rPr>
          <w:sz w:val="21"/>
        </w:rPr>
        <w:t>Adversarial perturbations and physical patches: a crafted image perturbation or a printed patch collapses task success (patch attacks report up to ~100% success-rate reduction).</w:t>
      </w:r>
    </w:p>
    <w:p>
      <w:pPr>
        <w:pStyle w:val="ListBullet"/>
        <w:spacing w:after="40"/>
      </w:pPr>
      <w:r>
        <w:rPr>
          <w:sz w:val="21"/>
        </w:rPr>
        <w:t>Backdoors / trojans: a hidden trigger (a pixel pattern or an ordinary object) flips the policy to attacker-chosen behaviour while clean accuracy looks normal (e.g. BadVLA).</w:t>
      </w:r>
    </w:p>
    <w:p>
      <w:pPr>
        <w:pStyle w:val="ListBullet"/>
        <w:spacing w:after="40"/>
      </w:pPr>
      <w:r>
        <w:rPr>
          <w:sz w:val="21"/>
        </w:rPr>
        <w:t>Jailbreak / prompt injection at the instruction level: malicious language drives the robot to violate safety constraints (e.g. BadRobot).</w:t>
      </w:r>
    </w:p>
    <w:p>
      <w:r>
        <w:rPr>
          <w:b/>
          <w:sz w:val="21"/>
        </w:rPr>
        <w:t>B. Non-adversarial (the policy fails by itself on benign input).</w:t>
      </w:r>
    </w:p>
    <w:p>
      <w:pPr>
        <w:pStyle w:val="ListBullet"/>
        <w:spacing w:after="40"/>
      </w:pPr>
      <w:r>
        <w:rPr>
          <w:sz w:val="21"/>
        </w:rPr>
        <w:t>Distribution shift / out-of-distribution inputs, leading to unsafe behaviour; the usual response is runtime failure detection or abstention.</w:t>
      </w:r>
    </w:p>
    <w:p>
      <w:pPr>
        <w:pStyle w:val="ListBullet"/>
        <w:spacing w:after="40"/>
      </w:pPr>
      <w:r>
        <w:rPr>
          <w:sz w:val="21"/>
        </w:rPr>
        <w:t>Unsafe physical-action generation — collisions, excessive contact force, hazardous trajectories near people or fragile objects. This is the most physical and, until recently, the least covered category.</w:t>
      </w:r>
    </w:p>
    <w:p>
      <w:pPr>
        <w:pStyle w:val="ListBullet"/>
        <w:spacing w:after="40"/>
      </w:pPr>
      <w:r>
        <w:rPr>
          <w:sz w:val="21"/>
        </w:rPr>
        <w:t>Reward hacking / specification gaming (well studied for RL in general, still thin for robotics specifically).</w:t>
      </w:r>
    </w:p>
    <w:p>
      <w:pPr>
        <w:pStyle w:val="ListBullet"/>
        <w:spacing w:after="40"/>
      </w:pPr>
      <w:r>
        <w:rPr>
          <w:sz w:val="21"/>
        </w:rPr>
        <w:t>Action hallucination: emitting actions ungrounded in the actual scene or kinematics (e.g. acting on an object that is not there).</w:t>
      </w:r>
    </w:p>
    <w:p>
      <w:pPr>
        <w:spacing w:before="160" w:after="60"/>
      </w:pPr>
      <w:r>
        <w:rPr>
          <w:b/>
          <w:color w:val="1F3A5F"/>
          <w:sz w:val="26"/>
        </w:rPr>
        <w:t>3. Existing evaluation benchmarks</w:t>
      </w:r>
    </w:p>
    <w:p>
      <w:pPr>
        <w:spacing w:after="120"/>
      </w:pPr>
      <w:r>
        <w:t>Grouped by what they measure:</w:t>
      </w:r>
    </w:p>
    <w:p>
      <w:pPr>
        <w:pStyle w:val="ListBullet"/>
        <w:spacing w:after="40"/>
      </w:pPr>
      <w:r>
        <w:rPr>
          <w:sz w:val="21"/>
        </w:rPr>
        <w:t>Instruction-level refusal — does the agent refuse a dangerous instruction? SafeAgentBench, AGENTSAFE.</w:t>
      </w:r>
    </w:p>
    <w:p>
      <w:pPr>
        <w:pStyle w:val="ListBullet"/>
        <w:spacing w:after="40"/>
      </w:pPr>
      <w:r>
        <w:rPr>
          <w:sz w:val="21"/>
        </w:rPr>
        <w:t>Process / trajectory-level physical safety (a distinct 2026 wave) — does a successful rollout stay safe during execution? SafeVLA-Bench (Succ-But-Unsafe and a Violation Severity Index via Signal Temporal Logic), ForesightSafety-VLA (cumulative safety cost + risk-exposure time), LIBERO-Safety (adds a moving human-hand proxy), SafeManip (temporal-logic monitors), OopsieVerse (damage-aware simulation). SafeVLA is the anchor alignment method.</w:t>
      </w:r>
    </w:p>
    <w:p>
      <w:pPr>
        <w:pStyle w:val="ListBullet"/>
        <w:spacing w:after="40"/>
      </w:pPr>
      <w:r>
        <w:rPr>
          <w:sz w:val="21"/>
        </w:rPr>
        <w:t>Runtime hazard detection and guardrails — SafetyDetect, EgoSafetyBench, RoboGuard.</w:t>
      </w:r>
    </w:p>
    <w:p>
      <w:pPr>
        <w:spacing w:after="120"/>
      </w:pPr>
      <w:r>
        <w:t>A striking, repeated finding across the trajectory-level benchmarks is that current state-of-the-art VLAs routinely SUCCEED WHILE BEING UNSAFE — for example, 36-56% of successful RoboCasa rollouts violate at least one safety clause. High task success does not imply safe motion.</w:t>
      </w:r>
    </w:p>
    <w:p>
      <w:pPr>
        <w:spacing w:before="160" w:after="60"/>
      </w:pPr>
      <w:r>
        <w:rPr>
          <w:b/>
          <w:color w:val="1F3A5F"/>
          <w:sz w:val="26"/>
        </w:rPr>
        <w:t>4. The gap, and my proposal</w:t>
      </w:r>
    </w:p>
    <w:p>
      <w:pPr>
        <w:spacing w:after="120"/>
      </w:pPr>
      <w:r>
        <w:t>What none of the above measures: whether a policy PROACTIVELY keeps a dangerous CARRIED object (a knife, a cup of hot water) clear of a PERSON on a benign, completable task, scored by a CONTINUOUS clearance metric. The two nearest works each hold only one of the hard ingredients: LIBERO-Safety has a moving human proxy but scores binary collision of the robot body (not a dangerous payload); ANNIE poses knife-near-human scenes but is an adversarial attack with a static human and a binary threshold. The combination (human-in-scene x carried-hazard semantics x continuous clearance x proactive routing) is open.</w:t>
      </w:r>
    </w:p>
    <w:p>
      <w:pPr>
        <w:spacing w:after="120"/>
      </w:pPr>
      <w:r>
        <w:t>My proposal is a benchmark for exactly that, built on RoboCasa / robosuite (MuJoCo), where a signed hazard-to-human clearance is a built-in primitive (mj_geomDistance) and results are comparable with the benchmarks above. The scene is a benign task plus a carried knife/hot-liquid hazard plus a full-body moving human (SMPL-X driven by AMASS motion data). I would score three things: (1) STL clearance robustness (a signed safety margin, reusing the SafeVLA-Bench machinery); (2) hazard-exposure over time (how long / how much the hazard dwelt inside the person's danger band, as in ForesightSafety-VLA); and (3) an aware-vs-blind proactivity measure — a counterfactual comparing the policy's path against a hazard-blind baseline (exposure removed, and the detour it paid). The third is the distinguishing contribution: it measures anticipation, not just instantaneous safety.</w:t>
      </w:r>
    </w:p>
    <w:p>
      <w:pPr>
        <w:spacing w:after="120"/>
      </w:pPr>
      <w:r>
        <w:t>This is feasible now: a small prototype already reproduces the aware-vs-blind contrast in the RoboCasa/MuJoCo stack (an aware detour stays clear; a blind straight sweep drives the knife into the human) and connects a real VLA (SmolVLA) end-to-end on a modest laptop, so the measurement pipeline is validated. Natural extensions are real camera rendering with a Panda-competent policy (OpenVLA / pi0 / GR00T), and a fully dynamic human.</w:t>
      </w:r>
    </w:p>
    <w:p>
      <w:pPr>
        <w:spacing w:before="160" w:after="60"/>
      </w:pPr>
      <w:r>
        <w:rPr>
          <w:b/>
          <w:color w:val="1F3A5F"/>
          <w:sz w:val="26"/>
        </w:rPr>
        <w:t>5. Takeaways</w:t>
      </w:r>
    </w:p>
    <w:p>
      <w:pPr>
        <w:pStyle w:val="ListBullet"/>
        <w:spacing w:after="40"/>
      </w:pPr>
      <w:r>
        <w:rPr>
          <w:sz w:val="21"/>
        </w:rPr>
        <w:t>VLA safety is mature on adversarial robustness and instruction-refusal; physical / trajectory-level safety became active only in 2026 and consistently shows success != safety.</w:t>
      </w:r>
    </w:p>
    <w:p>
      <w:pPr>
        <w:pStyle w:val="ListBullet"/>
        <w:spacing w:after="40"/>
      </w:pPr>
      <w:r>
        <w:rPr>
          <w:sz w:val="21"/>
        </w:rPr>
        <w:t>The specific case of a carried hazard endangering a nearby person, scored continuously and proactively, is a clean open gap with a working measurement approach.</w:t>
      </w:r>
    </w:p>
    <w:p>
      <w:pPr>
        <w:pStyle w:val="ListBullet"/>
        <w:spacing w:after="40"/>
      </w:pPr>
      <w:r>
        <w:rPr>
          <w:sz w:val="21"/>
        </w:rPr>
        <w:t>A benchmark-first contribution (the metric is the novelty) fits the current landscape; a safety method / filter is a natural follow-up.</w:t>
      </w:r>
    </w:p>
    <w:p>
      <w:pPr>
        <w:spacing w:before="160"/>
      </w:pPr>
      <w:r>
        <w:rPr>
          <w:i/>
          <w:sz w:val="17"/>
        </w:rPr>
        <w:t>Note: many cited works are 2025-2026 preprints; arXiv identifiers and venues should be re-checked before formal citation. Key references: SafeVLA (arXiv:2503.03480), SafeVLA-Bench (2606.00773), ForesightSafety-VLA (2606.27079), LIBERO-Safety (2606.23686), SafeManip (2605.12386), OopsieVerse (2606.31993), SafeAgentBench (2412.13178), AGENTSAFE (2506.14697), BadVLA (2505.16640), BadRobot (2407.20242), ANNIE (2509.03383), RoboGuard (2503.07885).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