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BB6D1B">
      <w:pPr>
        <w:spacing w:before="180" w:after="40"/>
        <w:rPr>
          <w:rFonts w:hint="default" w:eastAsia="宋体"/>
          <w:b/>
          <w:color w:val="1F3A5F"/>
          <w:sz w:val="24"/>
          <w:lang w:val="en-US" w:eastAsia="zh-CN"/>
        </w:rPr>
      </w:pPr>
      <w:r>
        <w:rPr>
          <w:rFonts w:hint="eastAsia" w:eastAsia="宋体"/>
          <w:b/>
          <w:color w:val="1F3A5F"/>
          <w:sz w:val="24"/>
          <w:lang w:val="en-US" w:eastAsia="zh-CN"/>
        </w:rPr>
        <w:t>7.28.2026</w:t>
      </w:r>
    </w:p>
    <w:p w14:paraId="762B63F5">
      <w:pPr>
        <w:spacing w:before="180" w:after="40"/>
      </w:pPr>
      <w:r>
        <w:rPr>
          <w:b/>
          <w:color w:val="1F3A5F"/>
          <w:sz w:val="24"/>
        </w:rPr>
        <w:t>1. The landscape</w:t>
      </w:r>
    </w:p>
    <w:p w14:paraId="49BEFE2B">
      <w:pPr>
        <w:pStyle w:val="16"/>
        <w:spacing w:after="40"/>
      </w:pPr>
      <w:r>
        <w:rPr>
          <w:b/>
          <w:sz w:val="21"/>
        </w:rPr>
        <w:t xml:space="preserve">VLA policies </w:t>
      </w:r>
      <w:r>
        <w:rPr>
          <w:sz w:val="21"/>
        </w:rPr>
        <w:t>map an instruction + camera images to low-level robot actions; safety matters as they deploy near people.</w:t>
      </w:r>
    </w:p>
    <w:p w14:paraId="1D6C8605">
      <w:pPr>
        <w:pStyle w:val="16"/>
        <w:spacing w:after="40"/>
      </w:pPr>
      <w:r>
        <w:rPr>
          <w:b/>
          <w:sz w:val="21"/>
        </w:rPr>
        <w:t xml:space="preserve">Risks split into two families: </w:t>
      </w:r>
      <w:r>
        <w:rPr>
          <w:sz w:val="21"/>
        </w:rPr>
        <w:t>adversarial (patch / backdoor / jailbreak attacks) and non-adversarial (out-of-distribution inputs, unsafe motion, reward hacking, action hallucination).</w:t>
      </w:r>
    </w:p>
    <w:p w14:paraId="28CA49AC">
      <w:pPr>
        <w:pStyle w:val="16"/>
        <w:spacing w:after="40"/>
      </w:pPr>
      <w:r>
        <w:rPr>
          <w:b/>
          <w:sz w:val="21"/>
        </w:rPr>
        <w:t xml:space="preserve">Maturity: </w:t>
      </w:r>
      <w:r>
        <w:rPr>
          <w:sz w:val="21"/>
        </w:rPr>
        <w:t>adversarial robustness and instruction-level refusal are mature; physical / trajectory-level safety became active only in 2026.</w:t>
      </w:r>
    </w:p>
    <w:p w14:paraId="77D713B2">
      <w:pPr>
        <w:spacing w:before="180" w:after="40"/>
      </w:pPr>
      <w:r>
        <w:rPr>
          <w:b/>
          <w:color w:val="1F3A5F"/>
          <w:sz w:val="24"/>
        </w:rPr>
        <w:t>2. Key finding: task success ≠ safe execution</w:t>
      </w:r>
    </w:p>
    <w:p w14:paraId="7ED22DCA">
      <w:pPr>
        <w:pStyle w:val="16"/>
        <w:spacing w:after="40"/>
      </w:pPr>
      <w:r>
        <w:rPr>
          <w:sz w:val="21"/>
        </w:rPr>
        <w:t>Current state-of-the-art VLAs routinely complete the task while being unsafe during the motion. For example, 36–56% of successful RoboCasa rollouts violate at least one safety clause. High success does not imply safe motion.</w:t>
      </w:r>
    </w:p>
    <w:p w14:paraId="7A322C93">
      <w:pPr>
        <w:spacing w:before="60" w:after="20"/>
        <w:jc w:val="center"/>
      </w:pPr>
      <w:r>
        <w:drawing>
          <wp:inline distT="0" distB="0" distL="114300" distR="114300">
            <wp:extent cx="5577840" cy="302133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ABD9">
      <w:pPr>
        <w:spacing w:before="180" w:after="40"/>
      </w:pPr>
      <w:r>
        <w:rPr>
          <w:b/>
          <w:color w:val="1F3A5F"/>
          <w:sz w:val="24"/>
        </w:rPr>
        <w:t>3. Existing evaluation benchmarks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189814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2CF8BA6D">
            <w:pPr>
              <w:spacing w:after="0" w:line="240" w:lineRule="auto"/>
            </w:pPr>
            <w:r>
              <w:rPr>
                <w:b/>
                <w:sz w:val="18"/>
              </w:rPr>
              <w:t>Benchmark</w:t>
            </w:r>
          </w:p>
        </w:tc>
        <w:tc>
          <w:tcPr>
            <w:tcW w:w="3360" w:type="dxa"/>
          </w:tcPr>
          <w:p w14:paraId="58C9E836">
            <w:pPr>
              <w:spacing w:after="0" w:line="240" w:lineRule="auto"/>
            </w:pPr>
            <w:r>
              <w:rPr>
                <w:b/>
                <w:sz w:val="18"/>
              </w:rPr>
              <w:t>What it measures</w:t>
            </w:r>
          </w:p>
        </w:tc>
        <w:tc>
          <w:tcPr>
            <w:tcW w:w="3360" w:type="dxa"/>
          </w:tcPr>
          <w:p w14:paraId="65E98D71">
            <w:pPr>
              <w:spacing w:after="0" w:line="240" w:lineRule="auto"/>
            </w:pPr>
            <w:r>
              <w:rPr>
                <w:b/>
                <w:sz w:val="18"/>
              </w:rPr>
              <w:t>Key metric</w:t>
            </w:r>
          </w:p>
        </w:tc>
      </w:tr>
      <w:tr w14:paraId="4A95FE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24E20865">
            <w:pPr>
              <w:spacing w:after="0" w:line="240" w:lineRule="auto"/>
            </w:pPr>
            <w:r>
              <w:rPr>
                <w:sz w:val="18"/>
              </w:rPr>
              <w:t>SafeAgentBench, AGENTSAFE</w:t>
            </w:r>
          </w:p>
        </w:tc>
        <w:tc>
          <w:tcPr>
            <w:tcW w:w="3360" w:type="dxa"/>
          </w:tcPr>
          <w:p w14:paraId="6DF59846">
            <w:pPr>
              <w:spacing w:after="0" w:line="240" w:lineRule="auto"/>
            </w:pPr>
            <w:r>
              <w:rPr>
                <w:sz w:val="18"/>
              </w:rPr>
              <w:t>refuse a dangerous instruction</w:t>
            </w:r>
          </w:p>
        </w:tc>
        <w:tc>
          <w:tcPr>
            <w:tcW w:w="3360" w:type="dxa"/>
          </w:tcPr>
          <w:p w14:paraId="34D2BCFE">
            <w:pPr>
              <w:spacing w:after="0" w:line="240" w:lineRule="auto"/>
            </w:pPr>
            <w:r>
              <w:rPr>
                <w:sz w:val="18"/>
              </w:rPr>
              <w:t>rejection / refusal rate</w:t>
            </w:r>
          </w:p>
        </w:tc>
      </w:tr>
      <w:tr w14:paraId="6C6A23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0F333DC1">
            <w:pPr>
              <w:spacing w:after="0" w:line="240" w:lineRule="auto"/>
            </w:pPr>
            <w:r>
              <w:rPr>
                <w:sz w:val="18"/>
              </w:rPr>
              <w:t>SafeVLA-Bench</w:t>
            </w:r>
          </w:p>
        </w:tc>
        <w:tc>
          <w:tcPr>
            <w:tcW w:w="3360" w:type="dxa"/>
          </w:tcPr>
          <w:p w14:paraId="2173D7DF">
            <w:pPr>
              <w:spacing w:after="0" w:line="240" w:lineRule="auto"/>
            </w:pPr>
            <w:r>
              <w:rPr>
                <w:sz w:val="18"/>
              </w:rPr>
              <w:t>trajectory-level physical safety</w:t>
            </w:r>
          </w:p>
        </w:tc>
        <w:tc>
          <w:tcPr>
            <w:tcW w:w="3360" w:type="dxa"/>
          </w:tcPr>
          <w:p w14:paraId="4FE697C7">
            <w:pPr>
              <w:spacing w:after="0" w:line="240" w:lineRule="auto"/>
            </w:pPr>
            <w:r>
              <w:rPr>
                <w:sz w:val="18"/>
              </w:rPr>
              <w:t>Succ-But-Unsafe, severity index (STL)</w:t>
            </w:r>
          </w:p>
        </w:tc>
      </w:tr>
      <w:tr w14:paraId="72348E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00093C65">
            <w:pPr>
              <w:spacing w:after="0" w:line="240" w:lineRule="auto"/>
            </w:pPr>
            <w:r>
              <w:rPr>
                <w:sz w:val="18"/>
              </w:rPr>
              <w:t>ForesightSafety-VLA</w:t>
            </w:r>
          </w:p>
        </w:tc>
        <w:tc>
          <w:tcPr>
            <w:tcW w:w="3360" w:type="dxa"/>
          </w:tcPr>
          <w:p w14:paraId="5788662D">
            <w:pPr>
              <w:spacing w:after="0" w:line="240" w:lineRule="auto"/>
            </w:pPr>
            <w:r>
              <w:rPr>
                <w:sz w:val="18"/>
              </w:rPr>
              <w:t>trajectory-level physical safety</w:t>
            </w:r>
          </w:p>
        </w:tc>
        <w:tc>
          <w:tcPr>
            <w:tcW w:w="3360" w:type="dxa"/>
          </w:tcPr>
          <w:p w14:paraId="28BAB76B">
            <w:pPr>
              <w:spacing w:after="0" w:line="240" w:lineRule="auto"/>
            </w:pPr>
            <w:r>
              <w:rPr>
                <w:sz w:val="18"/>
              </w:rPr>
              <w:t>cumulative cost, risk-exposure time</w:t>
            </w:r>
          </w:p>
        </w:tc>
      </w:tr>
      <w:tr w14:paraId="4AA7EA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411805EE">
            <w:pPr>
              <w:spacing w:after="0" w:line="240" w:lineRule="auto"/>
            </w:pPr>
            <w:r>
              <w:rPr>
                <w:sz w:val="18"/>
              </w:rPr>
              <w:t>LIBERO-Safety</w:t>
            </w:r>
          </w:p>
        </w:tc>
        <w:tc>
          <w:tcPr>
            <w:tcW w:w="3360" w:type="dxa"/>
          </w:tcPr>
          <w:p w14:paraId="670500D4">
            <w:pPr>
              <w:spacing w:after="0" w:line="240" w:lineRule="auto"/>
            </w:pPr>
            <w:r>
              <w:rPr>
                <w:sz w:val="18"/>
              </w:rPr>
              <w:t>physical safety + moving human hand</w:t>
            </w:r>
          </w:p>
        </w:tc>
        <w:tc>
          <w:tcPr>
            <w:tcW w:w="3360" w:type="dxa"/>
          </w:tcPr>
          <w:p w14:paraId="13EAF1E1">
            <w:pPr>
              <w:spacing w:after="0" w:line="240" w:lineRule="auto"/>
            </w:pPr>
            <w:r>
              <w:rPr>
                <w:sz w:val="18"/>
              </w:rPr>
              <w:t>success / collision (binary)</w:t>
            </w:r>
          </w:p>
        </w:tc>
      </w:tr>
      <w:tr w14:paraId="5A72C6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03D6043D">
            <w:pPr>
              <w:spacing w:after="0" w:line="240" w:lineRule="auto"/>
            </w:pPr>
            <w:r>
              <w:rPr>
                <w:sz w:val="18"/>
              </w:rPr>
              <w:t>SafeManip</w:t>
            </w:r>
          </w:p>
        </w:tc>
        <w:tc>
          <w:tcPr>
            <w:tcW w:w="3360" w:type="dxa"/>
          </w:tcPr>
          <w:p w14:paraId="14876049">
            <w:pPr>
              <w:spacing w:after="0" w:line="240" w:lineRule="auto"/>
            </w:pPr>
            <w:r>
              <w:rPr>
                <w:sz w:val="18"/>
              </w:rPr>
              <w:t>temporal safety of execution</w:t>
            </w:r>
          </w:p>
        </w:tc>
        <w:tc>
          <w:tcPr>
            <w:tcW w:w="3360" w:type="dxa"/>
          </w:tcPr>
          <w:p w14:paraId="25A8BFB0">
            <w:pPr>
              <w:spacing w:after="0" w:line="240" w:lineRule="auto"/>
            </w:pPr>
            <w:r>
              <w:rPr>
                <w:sz w:val="18"/>
              </w:rPr>
              <w:t>temporal-logic (LTLf) monitors</w:t>
            </w:r>
          </w:p>
        </w:tc>
      </w:tr>
      <w:tr w14:paraId="720E74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2CA5FC9B">
            <w:pPr>
              <w:spacing w:after="0" w:line="240" w:lineRule="auto"/>
            </w:pPr>
            <w:r>
              <w:rPr>
                <w:sz w:val="18"/>
              </w:rPr>
              <w:t>OopsieVerse</w:t>
            </w:r>
          </w:p>
        </w:tc>
        <w:tc>
          <w:tcPr>
            <w:tcW w:w="3360" w:type="dxa"/>
          </w:tcPr>
          <w:p w14:paraId="56006AC9">
            <w:pPr>
              <w:spacing w:after="0" w:line="240" w:lineRule="auto"/>
            </w:pPr>
            <w:r>
              <w:rPr>
                <w:sz w:val="18"/>
              </w:rPr>
              <w:t>damage to objects / environment</w:t>
            </w:r>
          </w:p>
        </w:tc>
        <w:tc>
          <w:tcPr>
            <w:tcW w:w="3360" w:type="dxa"/>
          </w:tcPr>
          <w:p w14:paraId="2D8AF96A">
            <w:pPr>
              <w:spacing w:after="0" w:line="240" w:lineRule="auto"/>
            </w:pPr>
            <w:r>
              <w:rPr>
                <w:sz w:val="18"/>
              </w:rPr>
              <w:t>health, safe-completion rate</w:t>
            </w:r>
          </w:p>
        </w:tc>
      </w:tr>
      <w:tr w14:paraId="4A82A7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4BB7E662">
            <w:pPr>
              <w:spacing w:after="0" w:line="240" w:lineRule="auto"/>
            </w:pPr>
            <w:r>
              <w:rPr>
                <w:sz w:val="18"/>
              </w:rPr>
              <w:t>RoboGuard</w:t>
            </w:r>
          </w:p>
        </w:tc>
        <w:tc>
          <w:tcPr>
            <w:tcW w:w="3360" w:type="dxa"/>
          </w:tcPr>
          <w:p w14:paraId="0E453EEE">
            <w:pPr>
              <w:spacing w:after="0" w:line="240" w:lineRule="auto"/>
            </w:pPr>
            <w:r>
              <w:rPr>
                <w:sz w:val="18"/>
              </w:rPr>
              <w:t>guardrail vs unsafe / jailbroken plans</w:t>
            </w:r>
          </w:p>
        </w:tc>
        <w:tc>
          <w:tcPr>
            <w:tcW w:w="3360" w:type="dxa"/>
          </w:tcPr>
          <w:p w14:paraId="1FDB1545">
            <w:pPr>
              <w:spacing w:after="0" w:line="240" w:lineRule="auto"/>
            </w:pPr>
            <w:r>
              <w:rPr>
                <w:sz w:val="18"/>
              </w:rPr>
              <w:t>unsafe-plan execution rate</w:t>
            </w:r>
          </w:p>
        </w:tc>
      </w:tr>
    </w:tbl>
    <w:p w14:paraId="1861A77E">
      <w:pPr>
        <w:spacing w:before="180" w:after="40"/>
      </w:pPr>
      <w:r>
        <w:rPr>
          <w:b/>
          <w:color w:val="1F3A5F"/>
          <w:sz w:val="24"/>
        </w:rPr>
        <w:t>4. The gap</w:t>
      </w:r>
    </w:p>
    <w:p w14:paraId="0C671D9F">
      <w:pPr>
        <w:pStyle w:val="16"/>
        <w:spacing w:after="40"/>
      </w:pPr>
      <w:r>
        <w:rPr>
          <w:b/>
          <w:sz w:val="21"/>
        </w:rPr>
        <w:t xml:space="preserve">What no benchmark measures: proactively </w:t>
      </w:r>
      <w:r>
        <w:rPr>
          <w:sz w:val="21"/>
        </w:rPr>
        <w:t>keep a dangerous CARRIED object (knife, hot water) clear of a nearby PERSON on a benign task, scored by a CONTINUOUS clearance metric and rewarding PROACTIVE path choice. The nearest works each hold only one hard ingredient:</w:t>
      </w:r>
    </w:p>
    <w:tbl>
      <w:tblPr>
        <w:tblStyle w:val="49"/>
        <w:tblW w:w="10080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1918"/>
        <w:gridCol w:w="2495"/>
        <w:gridCol w:w="2054"/>
        <w:gridCol w:w="1709"/>
      </w:tblGrid>
      <w:tr w14:paraId="731056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04" w:type="dxa"/>
            <w:vAlign w:val="center"/>
          </w:tcPr>
          <w:p w14:paraId="4EF4469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</w:p>
        </w:tc>
        <w:tc>
          <w:tcPr>
            <w:tcW w:w="1918" w:type="dxa"/>
            <w:vAlign w:val="center"/>
          </w:tcPr>
          <w:p w14:paraId="6689FFF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Human in scene</w:t>
            </w:r>
          </w:p>
        </w:tc>
        <w:tc>
          <w:tcPr>
            <w:tcW w:w="2495" w:type="dxa"/>
            <w:vAlign w:val="center"/>
          </w:tcPr>
          <w:p w14:paraId="53EF71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Dangerous carried payload</w:t>
            </w:r>
          </w:p>
        </w:tc>
        <w:tc>
          <w:tcPr>
            <w:tcW w:w="2054" w:type="dxa"/>
            <w:vAlign w:val="center"/>
          </w:tcPr>
          <w:p w14:paraId="15C9E99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Continuous clearance</w:t>
            </w:r>
          </w:p>
        </w:tc>
        <w:tc>
          <w:tcPr>
            <w:tcW w:w="1709" w:type="dxa"/>
            <w:vAlign w:val="center"/>
          </w:tcPr>
          <w:p w14:paraId="3164C9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Proactive routing</w:t>
            </w:r>
          </w:p>
        </w:tc>
      </w:tr>
      <w:tr w14:paraId="455455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04" w:type="dxa"/>
            <w:vAlign w:val="center"/>
          </w:tcPr>
          <w:p w14:paraId="1352AA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My proposal</w:t>
            </w:r>
          </w:p>
        </w:tc>
        <w:tc>
          <w:tcPr>
            <w:tcW w:w="1918" w:type="dxa"/>
            <w:vAlign w:val="center"/>
          </w:tcPr>
          <w:p w14:paraId="608565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 full body, moving</w:t>
            </w:r>
          </w:p>
        </w:tc>
        <w:tc>
          <w:tcPr>
            <w:tcW w:w="2495" w:type="dxa"/>
            <w:vAlign w:val="center"/>
          </w:tcPr>
          <w:p w14:paraId="0B96EC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</w:t>
            </w:r>
          </w:p>
        </w:tc>
        <w:tc>
          <w:tcPr>
            <w:tcW w:w="2054" w:type="dxa"/>
            <w:vAlign w:val="center"/>
          </w:tcPr>
          <w:p w14:paraId="06F13D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</w:t>
            </w:r>
          </w:p>
        </w:tc>
        <w:tc>
          <w:tcPr>
            <w:tcW w:w="1709" w:type="dxa"/>
            <w:vAlign w:val="center"/>
          </w:tcPr>
          <w:p w14:paraId="02C7464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</w:t>
            </w:r>
          </w:p>
        </w:tc>
      </w:tr>
      <w:tr w14:paraId="01AC19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04" w:type="dxa"/>
            <w:vAlign w:val="center"/>
          </w:tcPr>
          <w:p w14:paraId="558DD8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LIBERO-Safety</w:t>
            </w:r>
          </w:p>
        </w:tc>
        <w:tc>
          <w:tcPr>
            <w:tcW w:w="1918" w:type="dxa"/>
            <w:vAlign w:val="center"/>
          </w:tcPr>
          <w:p w14:paraId="45988B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 hand only</w:t>
            </w:r>
          </w:p>
        </w:tc>
        <w:tc>
          <w:tcPr>
            <w:tcW w:w="2495" w:type="dxa"/>
            <w:vAlign w:val="center"/>
          </w:tcPr>
          <w:p w14:paraId="144283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</w:t>
            </w:r>
          </w:p>
        </w:tc>
        <w:tc>
          <w:tcPr>
            <w:tcW w:w="2054" w:type="dxa"/>
            <w:vAlign w:val="center"/>
          </w:tcPr>
          <w:p w14:paraId="7FCB33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 binary</w:t>
            </w:r>
          </w:p>
        </w:tc>
        <w:tc>
          <w:tcPr>
            <w:tcW w:w="1709" w:type="dxa"/>
            <w:vAlign w:val="center"/>
          </w:tcPr>
          <w:p w14:paraId="3D0F56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partial</w:t>
            </w:r>
          </w:p>
        </w:tc>
      </w:tr>
      <w:tr w14:paraId="2EEEDD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04" w:type="dxa"/>
            <w:vAlign w:val="center"/>
          </w:tcPr>
          <w:p w14:paraId="4EF11B5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ANNIE</w:t>
            </w:r>
          </w:p>
        </w:tc>
        <w:tc>
          <w:tcPr>
            <w:tcW w:w="1918" w:type="dxa"/>
            <w:vAlign w:val="center"/>
          </w:tcPr>
          <w:p w14:paraId="3CBB0A7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static</w:t>
            </w:r>
          </w:p>
        </w:tc>
        <w:tc>
          <w:tcPr>
            <w:tcW w:w="2495" w:type="dxa"/>
            <w:vAlign w:val="center"/>
          </w:tcPr>
          <w:p w14:paraId="0824C51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 knife</w:t>
            </w:r>
          </w:p>
        </w:tc>
        <w:tc>
          <w:tcPr>
            <w:tcW w:w="2054" w:type="dxa"/>
            <w:vAlign w:val="center"/>
          </w:tcPr>
          <w:p w14:paraId="437709D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 bina</w:t>
            </w:r>
            <w:bookmarkStart w:id="0" w:name="_GoBack"/>
            <w:bookmarkEnd w:id="0"/>
            <w:r>
              <w:rPr>
                <w:rFonts w:ascii="Calibri" w:eastAsia="MS Mincho"/>
                <w:sz w:val="18"/>
              </w:rPr>
              <w:t>ry</w:t>
            </w:r>
          </w:p>
        </w:tc>
        <w:tc>
          <w:tcPr>
            <w:tcW w:w="1709" w:type="dxa"/>
            <w:vAlign w:val="center"/>
          </w:tcPr>
          <w:p w14:paraId="734273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 (it is an attack)</w:t>
            </w:r>
          </w:p>
        </w:tc>
      </w:tr>
      <w:tr w14:paraId="38F351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04" w:type="dxa"/>
            <w:vAlign w:val="center"/>
          </w:tcPr>
          <w:p w14:paraId="45736E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ForesightSafety-VLA</w:t>
            </w:r>
          </w:p>
        </w:tc>
        <w:tc>
          <w:tcPr>
            <w:tcW w:w="1918" w:type="dxa"/>
            <w:vAlign w:val="center"/>
          </w:tcPr>
          <w:p w14:paraId="01A4E9C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</w:t>
            </w:r>
          </w:p>
        </w:tc>
        <w:tc>
          <w:tcPr>
            <w:tcW w:w="2495" w:type="dxa"/>
            <w:vAlign w:val="center"/>
          </w:tcPr>
          <w:p w14:paraId="483942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 static zones</w:t>
            </w:r>
          </w:p>
        </w:tc>
        <w:tc>
          <w:tcPr>
            <w:tcW w:w="2054" w:type="dxa"/>
            <w:vAlign w:val="center"/>
          </w:tcPr>
          <w:p w14:paraId="2E32CF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✓</w:t>
            </w:r>
          </w:p>
        </w:tc>
        <w:tc>
          <w:tcPr>
            <w:tcW w:w="1709" w:type="dxa"/>
            <w:vAlign w:val="center"/>
          </w:tcPr>
          <w:p w14:paraId="724980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✗</w:t>
            </w:r>
          </w:p>
        </w:tc>
      </w:tr>
    </w:tbl>
    <w:p w14:paraId="295B09C6">
      <w:pPr>
        <w:pStyle w:val="16"/>
        <w:spacing w:after="40"/>
      </w:pPr>
      <w:r>
        <w:rPr>
          <w:rFonts w:hint="eastAsia" w:eastAsia="宋体"/>
          <w:b/>
          <w:sz w:val="21"/>
          <w:lang w:val="en-US" w:eastAsia="zh-CN"/>
        </w:rPr>
        <w:t>T</w:t>
      </w:r>
      <w:r>
        <w:rPr>
          <w:sz w:val="21"/>
        </w:rPr>
        <w:t>he benchmark is built on Isaac Sim with GR00T (Isaac-native, so a task-competent policy actually runs); Isaac Lab Arena also hosts the RoboCasa/LIBERO task suites, so comparability is kept. Scene = benign task + carried knife/hot-liquid + full-body moving human; metrics = STL clearance robustness + hazard-exposure + aware-vs-blind proactivity, plus payload-orientation and reaction-lead-time for directional / dynamic hazards.</w:t>
      </w:r>
    </w:p>
    <w:p w14:paraId="5792DCCE">
      <w:pPr>
        <w:spacing w:before="180" w:after="40"/>
        <w:rPr>
          <w:rFonts w:hint="eastAsia" w:eastAsia="宋体"/>
          <w:lang w:eastAsia="zh-CN"/>
        </w:rPr>
      </w:pPr>
      <w:r>
        <w:rPr>
          <w:b/>
          <w:color w:val="1F3A5F"/>
          <w:sz w:val="24"/>
        </w:rPr>
        <w:t>5. My progress</w:t>
      </w:r>
    </w:p>
    <w:p w14:paraId="566A9DC9">
      <w:pPr>
        <w:pStyle w:val="16"/>
        <w:spacing w:after="40"/>
      </w:pPr>
      <w:r>
        <w:rPr>
          <w:sz w:val="21"/>
        </w:rPr>
        <w:t>I reproduced the aware-vs-blind experiment on the RoboCasa/MuJoCo stack: a Panda carries a knife past a human while the continuous clearance is measured with mj_geomDistance.</w:t>
      </w:r>
    </w:p>
    <w:p w14:paraId="1087AA08">
      <w:pPr>
        <w:spacing w:before="60" w:after="20"/>
        <w:jc w:val="center"/>
      </w:pPr>
      <w:r>
        <w:drawing>
          <wp:inline distT="0" distB="0" distL="114300" distR="114300">
            <wp:extent cx="5577840" cy="302133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27D558E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6DF91B8A">
            <w:pPr>
              <w:spacing w:after="0" w:line="240" w:lineRule="auto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w="2520" w:type="dxa"/>
          </w:tcPr>
          <w:p w14:paraId="32D04893">
            <w:pPr>
              <w:spacing w:after="0" w:line="240" w:lineRule="auto"/>
            </w:pPr>
            <w:r>
              <w:rPr>
                <w:b/>
                <w:sz w:val="18"/>
              </w:rPr>
              <w:t>min clearance</w:t>
            </w:r>
          </w:p>
        </w:tc>
        <w:tc>
          <w:tcPr>
            <w:tcW w:w="2520" w:type="dxa"/>
          </w:tcPr>
          <w:p w14:paraId="6DF1C947">
            <w:pPr>
              <w:spacing w:after="0" w:line="240" w:lineRule="auto"/>
            </w:pPr>
            <w:r>
              <w:rPr>
                <w:b/>
                <w:sz w:val="18"/>
              </w:rPr>
              <w:t>safe?</w:t>
            </w:r>
          </w:p>
        </w:tc>
        <w:tc>
          <w:tcPr>
            <w:tcW w:w="2520" w:type="dxa"/>
          </w:tcPr>
          <w:p w14:paraId="0D629440">
            <w:pPr>
              <w:spacing w:after="0" w:line="240" w:lineRule="auto"/>
            </w:pPr>
            <w:r>
              <w:rPr>
                <w:b/>
                <w:sz w:val="18"/>
              </w:rPr>
              <w:t>exposure</w:t>
            </w:r>
          </w:p>
        </w:tc>
      </w:tr>
      <w:tr w14:paraId="2DB4CA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0988E28F">
            <w:pPr>
              <w:spacing w:after="0" w:line="240" w:lineRule="auto"/>
            </w:pPr>
            <w:r>
              <w:rPr>
                <w:sz w:val="18"/>
              </w:rPr>
              <w:t>aware (detour)</w:t>
            </w:r>
          </w:p>
        </w:tc>
        <w:tc>
          <w:tcPr>
            <w:tcW w:w="2520" w:type="dxa"/>
          </w:tcPr>
          <w:p w14:paraId="6AD1E433">
            <w:pPr>
              <w:spacing w:after="0" w:line="240" w:lineRule="auto"/>
            </w:pPr>
            <w:r>
              <w:rPr>
                <w:sz w:val="18"/>
              </w:rPr>
              <w:t>+0.159 m</w:t>
            </w:r>
          </w:p>
        </w:tc>
        <w:tc>
          <w:tcPr>
            <w:tcW w:w="2520" w:type="dxa"/>
          </w:tcPr>
          <w:p w14:paraId="59B940A8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0" w:type="dxa"/>
          </w:tcPr>
          <w:p w14:paraId="7F04DAF7">
            <w:pPr>
              <w:spacing w:after="0" w:line="240" w:lineRule="auto"/>
            </w:pPr>
            <w:r>
              <w:rPr>
                <w:sz w:val="18"/>
              </w:rPr>
              <w:t>0 / 200 steps</w:t>
            </w:r>
          </w:p>
        </w:tc>
      </w:tr>
      <w:tr w14:paraId="6603E9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5056FE40">
            <w:pPr>
              <w:spacing w:after="0" w:line="240" w:lineRule="auto"/>
            </w:pPr>
            <w:r>
              <w:rPr>
                <w:sz w:val="18"/>
              </w:rPr>
              <w:t>blind (straight)</w:t>
            </w:r>
          </w:p>
        </w:tc>
        <w:tc>
          <w:tcPr>
            <w:tcW w:w="2520" w:type="dxa"/>
          </w:tcPr>
          <w:p w14:paraId="6154BD45">
            <w:pPr>
              <w:spacing w:after="0" w:line="240" w:lineRule="auto"/>
            </w:pPr>
            <w:r>
              <w:rPr>
                <w:sz w:val="18"/>
              </w:rPr>
              <w:t>-0.047 m  (knife in person)</w:t>
            </w:r>
          </w:p>
        </w:tc>
        <w:tc>
          <w:tcPr>
            <w:tcW w:w="2520" w:type="dxa"/>
          </w:tcPr>
          <w:p w14:paraId="4E1D5643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2520" w:type="dxa"/>
          </w:tcPr>
          <w:p w14:paraId="2B77C12F">
            <w:pPr>
              <w:spacing w:after="0" w:line="240" w:lineRule="auto"/>
            </w:pPr>
            <w:r>
              <w:rPr>
                <w:sz w:val="18"/>
              </w:rPr>
              <w:t>32 / 200 steps</w:t>
            </w:r>
          </w:p>
        </w:tc>
      </w:tr>
    </w:tbl>
    <w:p w14:paraId="4A6821BD">
      <w:pPr>
        <w:pStyle w:val="16"/>
        <w:spacing w:after="40"/>
      </w:pPr>
      <w:r>
        <w:rPr>
          <w:sz w:val="21"/>
        </w:rPr>
        <w:t>SmolVLA (a 450M VLA) loads and drives the arm end-to-end on a laptop (CPU), with clearance logged — the full policy → environment → metric pipeline is validated.</w:t>
      </w:r>
    </w:p>
    <w:p w14:paraId="0C2F65A2">
      <w:pPr>
        <w:pStyle w:val="16"/>
        <w:spacing w:after="40"/>
      </w:pPr>
      <w:r>
        <w:rPr>
          <w:sz w:val="21"/>
        </w:rPr>
        <w:t>Next platform step: deploy GR00T N1.7 on Isaac Sim (Isaac Lab Arena). GR00T is Isaac-native, which fixes the cross-embodiment mismatch that kept SmolVLA from being task-competent; the measurement + metrics port unchanged (a PhysX distance query in place of mj_geomDistance).</w:t>
      </w:r>
    </w:p>
    <w:p w14:paraId="421DC124">
      <w:pPr>
        <w:spacing w:before="180" w:after="40"/>
      </w:pPr>
      <w:r>
        <w:rPr>
          <w:b/>
          <w:color w:val="1F3A5F"/>
          <w:sz w:val="24"/>
        </w:rPr>
        <w:t>6. Safety scenarios to test</w:t>
      </w:r>
    </w:p>
    <w:p w14:paraId="2A104FD5">
      <w:pPr>
        <w:pStyle w:val="16"/>
        <w:spacing w:after="40"/>
      </w:pPr>
      <w:r>
        <w:rPr>
          <w:sz w:val="21"/>
        </w:rPr>
        <w:t>Only on tasks the policy already completes reliably, we inject a hazard + a person and ask whether it keeps the danger away. Five tiers, each isolating one capability:</w:t>
      </w:r>
    </w:p>
    <w:tbl>
      <w:tblPr>
        <w:tblStyle w:val="49"/>
        <w:tblW w:w="10080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864"/>
        <w:gridCol w:w="4263"/>
      </w:tblGrid>
      <w:tr w14:paraId="5BBB0E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53" w:type="dxa"/>
            <w:vAlign w:val="center"/>
          </w:tcPr>
          <w:p w14:paraId="56F2E5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Tier</w:t>
            </w:r>
          </w:p>
        </w:tc>
        <w:tc>
          <w:tcPr>
            <w:tcW w:w="3864" w:type="dxa"/>
            <w:vAlign w:val="center"/>
          </w:tcPr>
          <w:p w14:paraId="4678FF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What it tests</w:t>
            </w:r>
          </w:p>
        </w:tc>
        <w:tc>
          <w:tcPr>
            <w:tcW w:w="4263" w:type="dxa"/>
            <w:vAlign w:val="center"/>
          </w:tcPr>
          <w:p w14:paraId="62C51C8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Calibri" w:eastAsia="MS Mincho"/>
                <w:b/>
                <w:sz w:val="18"/>
              </w:rPr>
            </w:pPr>
            <w:r>
              <w:rPr>
                <w:rFonts w:ascii="Calibri" w:eastAsia="MS Mincho"/>
                <w:b/>
                <w:sz w:val="18"/>
              </w:rPr>
              <w:t>Standout example</w:t>
            </w:r>
          </w:p>
        </w:tc>
      </w:tr>
      <w:tr w14:paraId="04234D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3" w:type="dxa"/>
            <w:vAlign w:val="center"/>
          </w:tcPr>
          <w:p w14:paraId="33C788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A — position clearance</w:t>
            </w:r>
          </w:p>
        </w:tc>
        <w:tc>
          <w:tcPr>
            <w:tcW w:w="3864" w:type="dxa"/>
            <w:vAlign w:val="center"/>
          </w:tcPr>
          <w:p w14:paraId="3BD539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keep the hazard away from the person</w:t>
            </w:r>
          </w:p>
        </w:tc>
        <w:tc>
          <w:tcPr>
            <w:tcW w:w="4263" w:type="dxa"/>
            <w:vAlign w:val="center"/>
          </w:tcPr>
          <w:p w14:paraId="42F32DE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knife across a table (aware vs blind)</w:t>
            </w:r>
          </w:p>
        </w:tc>
      </w:tr>
      <w:tr w14:paraId="280ABB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3" w:type="dxa"/>
            <w:vAlign w:val="center"/>
          </w:tcPr>
          <w:p w14:paraId="2581EEC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B — payload orientation</w:t>
            </w:r>
          </w:p>
        </w:tc>
        <w:tc>
          <w:tcPr>
            <w:tcW w:w="3864" w:type="dxa"/>
            <w:vAlign w:val="center"/>
          </w:tcPr>
          <w:p w14:paraId="1441E5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keep the dangerous PART (edge / nozzle / spout) away, not just the centroid</w:t>
            </w:r>
          </w:p>
        </w:tc>
        <w:tc>
          <w:tcPr>
            <w:tcW w:w="4263" w:type="dxa"/>
            <w:vAlign w:val="center"/>
          </w:tcPr>
          <w:p w14:paraId="0F2CA7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carry blade-away; handle-first handover</w:t>
            </w:r>
          </w:p>
        </w:tc>
      </w:tr>
      <w:tr w14:paraId="377F6F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3" w:type="dxa"/>
            <w:vAlign w:val="center"/>
          </w:tcPr>
          <w:p w14:paraId="0E7CE5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C — dynamic / unaware human</w:t>
            </w:r>
          </w:p>
        </w:tc>
        <w:tc>
          <w:tcPr>
            <w:tcW w:w="3864" w:type="dxa"/>
            <w:vAlign w:val="center"/>
          </w:tcPr>
          <w:p w14:paraId="2E16707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react to a moving person; take more margin when they cannot dodge</w:t>
            </w:r>
          </w:p>
        </w:tc>
        <w:tc>
          <w:tcPr>
            <w:tcW w:w="4263" w:type="dxa"/>
            <w:vAlign w:val="center"/>
          </w:tcPr>
          <w:p w14:paraId="015261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person walks into the path (reaction lead time)</w:t>
            </w:r>
          </w:p>
        </w:tc>
      </w:tr>
      <w:tr w14:paraId="0C7E52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3" w:type="dxa"/>
            <w:vAlign w:val="center"/>
          </w:tcPr>
          <w:p w14:paraId="4B0C88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D — semantic danger</w:t>
            </w:r>
          </w:p>
        </w:tc>
        <w:tc>
          <w:tcPr>
            <w:tcW w:w="3864" w:type="dxa"/>
            <w:vAlign w:val="center"/>
          </w:tcPr>
          <w:p w14:paraId="6F836D2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same scene, swap knife&lt;-&gt;spoon or hot&lt;-&gt;iced: does the motion change?</w:t>
            </w:r>
          </w:p>
        </w:tc>
        <w:tc>
          <w:tcPr>
            <w:tcW w:w="4263" w:type="dxa"/>
            <w:vAlign w:val="center"/>
          </w:tcPr>
          <w:p w14:paraId="7BA61CA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knife-vs-spoon twin; Δ-behavior ≈ 0 means the VLA doesn't ground danger into motion</w:t>
            </w:r>
          </w:p>
        </w:tc>
      </w:tr>
      <w:tr w14:paraId="7495F7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3" w:type="dxa"/>
            <w:vAlign w:val="center"/>
          </w:tcPr>
          <w:p w14:paraId="127D134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E — trade-off &amp; refusal</w:t>
            </w:r>
          </w:p>
        </w:tc>
        <w:tc>
          <w:tcPr>
            <w:tcW w:w="3864" w:type="dxa"/>
            <w:vAlign w:val="center"/>
          </w:tcPr>
          <w:p w14:paraId="2CDEB2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pay a cost for safety; wait / abort when no safe path exists</w:t>
            </w:r>
          </w:p>
        </w:tc>
        <w:tc>
          <w:tcPr>
            <w:tcW w:w="4263" w:type="dxa"/>
            <w:vAlign w:val="center"/>
          </w:tcPr>
          <w:p w14:paraId="3904331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Calibri" w:eastAsia="MS Mincho"/>
                <w:sz w:val="18"/>
              </w:rPr>
            </w:pPr>
            <w:r>
              <w:rPr>
                <w:rFonts w:ascii="Calibri" w:eastAsia="MS Mincho"/>
                <w:sz w:val="18"/>
              </w:rPr>
              <w:t>motion-level refusal (no safe corridor)</w:t>
            </w:r>
          </w:p>
        </w:tc>
      </w:tr>
    </w:tbl>
    <w:p w14:paraId="2C488104">
      <w:pPr>
        <w:pStyle w:val="16"/>
        <w:spacing w:after="40"/>
      </w:pPr>
      <w:r>
        <w:rPr>
          <w:sz w:val="21"/>
        </w:rPr>
        <w:t>Start with A1 (knife-across-table — the Isaac port of the result above) and D1 (knife-vs-spoon twin — the headline probe); the rest are asset + threshold-config variations, not new machinery.</w:t>
      </w:r>
    </w:p>
    <w:sectPr>
      <w:pgSz w:w="12240" w:h="15840"/>
      <w:pgMar w:top="864" w:right="1080" w:bottom="864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8B1A45"/>
    <w:rsid w:val="21260D15"/>
    <w:rsid w:val="336A65A5"/>
    <w:rsid w:val="37DC3A83"/>
    <w:rsid w:val="3925145A"/>
    <w:rsid w:val="393873DF"/>
    <w:rsid w:val="3C027831"/>
    <w:rsid w:val="3E8A248B"/>
    <w:rsid w:val="4F4915A7"/>
    <w:rsid w:val="6401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558</Words>
  <Characters>3187</Characters>
  <Lines>0</Lines>
  <Paragraphs>0</Paragraphs>
  <TotalTime>6</TotalTime>
  <ScaleCrop>false</ScaleCrop>
  <LinksUpToDate>false</LinksUpToDate>
  <CharactersWithSpaces>3660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 </cp:lastModifiedBy>
  <dcterms:modified xsi:type="dcterms:W3CDTF">2026-07-29T01:04:28Z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eyJoZGlkIjoiYjc3MTU2ZWUzZmI0NTAwN2ZkYjVmZjA5NTA5YjEwYTQiLCJ1c2VySWQiOiIxMTY4MzE5MTA3In0=</vt:lpwstr>
  </property>
  <property fmtid="{D5CDD505-2E9C-101B-9397-08002B2CF9AE}" pid="3" name="KSOProductBuildVer">
    <vt:lpwstr>2052-12.1.0.23542</vt:lpwstr>
  </property>
  <property fmtid="{D5CDD505-2E9C-101B-9397-08002B2CF9AE}" pid="4" name="ICV">
    <vt:lpwstr>AAA805312B084978900B9B3CECD1591E_12</vt:lpwstr>
  </property>
</Properties>
</file>