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sz w:val="32"/>
        </w:rPr>
        <w:t>VLA Safety: Key Findings and My Progress</w:t>
      </w:r>
    </w:p>
    <w:p>
      <w:pPr>
        <w:spacing w:after="120"/>
        <w:jc w:val="center"/>
      </w:pPr>
      <w:r>
        <w:rPr>
          <w:i/>
          <w:sz w:val="20"/>
        </w:rPr>
        <w:t>Zijian Su</w:t>
      </w:r>
    </w:p>
    <w:p>
      <w:pPr>
        <w:spacing w:before="180" w:after="40"/>
      </w:pPr>
      <w:r>
        <w:rPr>
          <w:b/>
          <w:color w:val="1F3A5F"/>
          <w:sz w:val="24"/>
        </w:rPr>
        <w:t>1. The landscape, briefly</w:t>
      </w:r>
    </w:p>
    <w:p>
      <w:pPr>
        <w:pStyle w:val="ListBullet"/>
        <w:spacing w:after="40"/>
      </w:pPr>
      <w:r>
        <w:rPr>
          <w:b/>
          <w:sz w:val="21"/>
        </w:rPr>
        <w:t xml:space="preserve">VLA policies </w:t>
      </w:r>
      <w:r>
        <w:rPr>
          <w:sz w:val="21"/>
        </w:rPr>
        <w:t>map an instruction + camera images to low-level robot actions; safety matters as they deploy near people.</w:t>
      </w:r>
    </w:p>
    <w:p>
      <w:pPr>
        <w:pStyle w:val="ListBullet"/>
        <w:spacing w:after="40"/>
      </w:pPr>
      <w:r>
        <w:rPr>
          <w:b/>
          <w:sz w:val="21"/>
        </w:rPr>
        <w:t xml:space="preserve">Risks split into two families: </w:t>
      </w:r>
      <w:r>
        <w:rPr>
          <w:sz w:val="21"/>
        </w:rPr>
        <w:t>adversarial (patch / backdoor / jailbreak attacks) and non-adversarial (out-of-distribution inputs, unsafe motion, reward hacking, action hallucination).</w:t>
      </w:r>
    </w:p>
    <w:p>
      <w:pPr>
        <w:pStyle w:val="ListBullet"/>
        <w:spacing w:after="40"/>
      </w:pPr>
      <w:r>
        <w:rPr>
          <w:b/>
          <w:sz w:val="21"/>
        </w:rPr>
        <w:t xml:space="preserve">Maturity: </w:t>
      </w:r>
      <w:r>
        <w:rPr>
          <w:sz w:val="21"/>
        </w:rPr>
        <w:t>adversarial robustness and instruction-level refusal are mature; physical / trajectory-level safety became active only in 2026.</w:t>
      </w:r>
    </w:p>
    <w:p>
      <w:pPr>
        <w:spacing w:before="180" w:after="40"/>
      </w:pPr>
      <w:r>
        <w:rPr>
          <w:b/>
          <w:color w:val="1F3A5F"/>
          <w:sz w:val="24"/>
        </w:rPr>
        <w:t>2. Key finding: task success ≠ safe execution</w:t>
      </w:r>
    </w:p>
    <w:p>
      <w:pPr>
        <w:pStyle w:val="ListBullet"/>
        <w:spacing w:after="40"/>
      </w:pPr>
      <w:r>
        <w:rPr>
          <w:sz w:val="21"/>
        </w:rPr>
        <w:t>Current state-of-the-art VLAs routinely complete the task while being unsafe during the motion. For example, 36–56% of successful RoboCasa rollouts violate at least one safety clause. High success does not imply safe motion.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77840" cy="30213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ccess_vs_saf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1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6B7A88"/>
          <w:sz w:val="17"/>
        </w:rPr>
        <w:t>Representative results from recent benchmarks: task completion is high, safe execution is not.</w:t>
      </w:r>
    </w:p>
    <w:p>
      <w:pPr>
        <w:spacing w:before="180" w:after="40"/>
      </w:pPr>
      <w:r>
        <w:rPr>
          <w:b/>
          <w:color w:val="1F3A5F"/>
          <w:sz w:val="24"/>
        </w:rPr>
        <w:t>3. Existing evaluation benchmarks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8"/>
              </w:rPr>
              <w:t>Benchmark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What it measures</w:t>
            </w:r>
          </w:p>
        </w:tc>
        <w:tc>
          <w:tcPr>
            <w:tcW w:type="dxa" w:w="3360"/>
          </w:tcPr>
          <w:p>
            <w:r>
              <w:rPr>
                <w:b/>
                <w:sz w:val="18"/>
              </w:rPr>
              <w:t>Key metric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SafeAgentBench, AGENTSAFE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refuse a dangerous instruction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rejection / refusal rate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SafeVLA-Bench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trajectory-level physical safety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Succ-But-Unsafe, severity index (STL)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ForesightSafety-VLA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trajectory-level physical safety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cumulative cost, risk-exposure time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LIBERO-Safety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physical safety + moving human hand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success / collision (binary)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SafeManip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temporal safety of execution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temporal-logic (LTLf) monitors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OopsieVerse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damage to objects / environment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health, safe-completion rate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RoboGuard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guardrail vs unsafe / jailbroken plans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unsafe-plan execution rate</w:t>
            </w:r>
          </w:p>
        </w:tc>
      </w:tr>
    </w:tbl>
    <w:p>
      <w:pPr>
        <w:spacing w:before="180" w:after="40"/>
      </w:pPr>
      <w:r>
        <w:rPr>
          <w:b/>
          <w:color w:val="1F3A5F"/>
          <w:sz w:val="24"/>
        </w:rPr>
        <w:t>4. The gap, and my idea</w:t>
      </w:r>
    </w:p>
    <w:p>
      <w:pPr>
        <w:pStyle w:val="ListBullet"/>
        <w:spacing w:after="40"/>
      </w:pPr>
      <w:r>
        <w:rPr>
          <w:b/>
          <w:sz w:val="21"/>
        </w:rPr>
        <w:t xml:space="preserve">What no benchmark measures: proactively </w:t>
      </w:r>
      <w:r>
        <w:rPr>
          <w:sz w:val="21"/>
        </w:rPr>
        <w:t>keep a dangerous CARRIED object (knife, hot water) clear of a nearby PERSON on a benign task, scored by a CONTINUOUS clearance metric and rewarding PROACTIVE path choice. The nearest works each hold only one hard ingredient: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Human in scene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Dangerous carried payload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Continuous clearance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Proactive routing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My proposal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✓ full body, moving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LIBERO-Safety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✓ hand only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✗ binary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partial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ANNIE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static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✓ knife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✗ binary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✗ (it is an attack)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ForesightSafety-VLA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✗ static zones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✗</w:t>
            </w:r>
          </w:p>
        </w:tc>
      </w:tr>
    </w:tbl>
    <w:p>
      <w:pPr>
        <w:pStyle w:val="ListBullet"/>
        <w:spacing w:after="40"/>
      </w:pPr>
      <w:r>
        <w:rPr>
          <w:b/>
          <w:sz w:val="21"/>
        </w:rPr>
        <w:t xml:space="preserve">My proposal: </w:t>
      </w:r>
      <w:r>
        <w:rPr>
          <w:sz w:val="21"/>
        </w:rPr>
        <w:t>a benchmark on RoboCasa / robosuite (MuJoCo), where signed hazard-to-human clearance is a built-in primitive; scene = benign task + carried knife/hot-liquid + full-body moving human (SMPL-X / AMASS); metrics = STL clearance robustness + hazard-exposure over time + an aware-vs-blind proactivity score (a counterfactual against a hazard-blind baseline).</w:t>
      </w:r>
    </w:p>
    <w:p>
      <w:pPr>
        <w:spacing w:before="180" w:after="40"/>
      </w:pPr>
      <w:r>
        <w:rPr>
          <w:b/>
          <w:color w:val="1F3A5F"/>
          <w:sz w:val="24"/>
        </w:rPr>
        <w:t>5. My progress — a working prototype</w:t>
      </w:r>
    </w:p>
    <w:p>
      <w:pPr>
        <w:pStyle w:val="ListBullet"/>
        <w:spacing w:after="40"/>
      </w:pPr>
      <w:r>
        <w:rPr>
          <w:sz w:val="21"/>
        </w:rPr>
        <w:t>I reproduced the aware-vs-blind experiment on the RoboCasa/MuJoCo stack: a Panda carries a knife past a human while the continuous clearance is measured with mj_geomDistance.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77840" cy="30213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rance_v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21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color w:val="6B7A88"/>
          <w:sz w:val="17"/>
        </w:rPr>
        <w:t>aware (detour) stays above the safe margin; blind (straight sweep) drives the knife into the person.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min clearance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safe?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exposure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aware (detour)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+0.159 m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0 / 200 steps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blind (straight)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-0.047 m  (knife in person)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32 / 200 steps</w:t>
            </w:r>
          </w:p>
        </w:tc>
      </w:tr>
    </w:tbl>
    <w:p>
      <w:pPr>
        <w:pStyle w:val="ListBullet"/>
        <w:spacing w:after="40"/>
      </w:pPr>
      <w:r>
        <w:rPr>
          <w:sz w:val="21"/>
        </w:rPr>
        <w:t>SmolVLA (a 450M VLA) loads and drives the arm end-to-end on a laptop (CPU), with clearance logged — the full policy → environment → metric pipeline is validated.</w:t>
      </w:r>
    </w:p>
    <w:p>
      <w:pPr>
        <w:spacing w:before="180" w:after="40"/>
      </w:pPr>
      <w:r>
        <w:rPr>
          <w:b/>
          <w:color w:val="1F3A5F"/>
          <w:sz w:val="24"/>
        </w:rPr>
        <w:t>6. Next steps</w:t>
      </w:r>
    </w:p>
    <w:p>
      <w:pPr>
        <w:pStyle w:val="ListBullet"/>
        <w:spacing w:after="40"/>
      </w:pPr>
      <w:r>
        <w:rPr>
          <w:sz w:val="21"/>
        </w:rPr>
        <w:t>real camera rendering with a Panda-competent policy (OpenVLA / π₀ / GR00T-N1.7);</w:t>
      </w:r>
    </w:p>
    <w:p>
      <w:pPr>
        <w:pStyle w:val="ListBullet"/>
        <w:spacing w:after="40"/>
      </w:pPr>
      <w:r>
        <w:rPr>
          <w:sz w:val="21"/>
        </w:rPr>
        <w:t>a fully dynamic human and RoboCasa kitchen scenes;</w:t>
      </w:r>
    </w:p>
    <w:p>
      <w:pPr>
        <w:pStyle w:val="ListBullet"/>
        <w:spacing w:after="40"/>
      </w:pPr>
      <w:r>
        <w:rPr>
          <w:sz w:val="21"/>
        </w:rPr>
        <w:t>release as a benchmark (the metric is the contribution); a safety filter / alignment method is a natural follow-up.</w:t>
      </w:r>
    </w:p>
    <w:p>
      <w:pPr>
        <w:spacing w:before="120"/>
      </w:pPr>
      <w:r>
        <w:rPr>
          <w:i/>
          <w:color w:val="6B7A88"/>
          <w:sz w:val="16"/>
        </w:rPr>
        <w:t>Note: many cited works are 2025–2026 preprints; identifiers should be re-checked before formal citation.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