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80"/>
              <w:bottom w:type="dxa" w:w="160"/>
              <w:right w:type="dxa" w:w="4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AI Engineering Maturity</w:t>
            </w:r>
          </w:p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28"/>
                <w:szCs w:val="28"/>
              </w:rPr>
              <w:t xml:space="preserve">Master Document — Project Plan &amp; Backlog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80"/>
              <w:left w:type="dxa" w:w="480"/>
              <w:bottom w:type="dxa" w:w="180"/>
              <w:right w:type="dxa" w:w="4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017"/>
                <w:sz w:val="20"/>
                <w:szCs w:val="20"/>
              </w:rPr>
              <w:t xml:space="preserve">Audience: All  ·  Format: One Growing Master Document  ·  Approach: Breadth First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Status Dashboard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1"/>
          <w:szCs w:val="21"/>
        </w:rPr>
        <w:t xml:space="preserve">Updated each session. Reflects current state of the breadth-first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52"/>
                <w:szCs w:val="52"/>
              </w:rPr>
              <w:t xml:space="preserve">35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 Items</w:t>
            </w:r>
          </w:p>
        </w:tc>
        <w:tc>
          <w:tcPr>
            <w:tcW w:type="dxa" w:w="234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52"/>
                <w:szCs w:val="52"/>
              </w:rPr>
              <w:t xml:space="preserve">0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ED7D31" w:sz="1"/>
              <w:left w:val="single" w:color="ED7D31" w:sz="1"/>
              <w:bottom w:val="single" w:color="ED7D31" w:sz="1"/>
              <w:right w:val="single" w:color="ED7D31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52"/>
                <w:szCs w:val="52"/>
              </w:rPr>
              <w:t xml:space="preserve">0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52"/>
                <w:szCs w:val="52"/>
              </w:rPr>
              <w:t xml:space="preserve">35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700"/>
        <w:gridCol w:w="700"/>
        <w:gridCol w:w="700"/>
        <w:gridCol w:w="700"/>
        <w:gridCol w:w="23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 Prog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 Do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Foundations &amp; Framework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8"/>
                <w:szCs w:val="18"/>
              </w:rPr>
              <w:t xml:space="preserve">Stage Deep Dives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Actors — Roles &amp; Evolution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Artefacts Reference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Organisational &amp; Strategic Guidance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Practical Guides &amp; Worked Examples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35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35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Project Overview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This document is both the project plan and the living backlog for the AI Engineering Maturity body of work. It governs how the master document grows — one breadth-first pass across all topics, building each section to overview depth before any section is deepened.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Approach: Breadth First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The breadth-first approach means we will complete one overview-level treatment of every topic across all six Epics before returning to deepen any section. The goal of the first pass is a complete, navigable document where every chapter exists — even if some sections are at summary depth — rather than a few chapters that are exhaustive and the rest absent.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Epics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6 thematic groups that organise the backlog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Backlog Items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37 discrete sections / chapters to be written, each with a priority, audience, effort estimate, and status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P1 Critical → P4 Low. Breadth-first pass covers all P1s and P2s in sequence.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 (small, ~1 page) · M (medium, ~2–3 pages) · L (large, ~4–6 pages) · XL (extensive, ~7–10 pages)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To Do → In Progress → Done. Updated as each item is completed and added to the master document.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Breadth-First Execution Sequence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The backlog is executed in six waves. Each wave covers one thematic area across all stages before we return to deepen any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960"/>
        <w:gridCol w:w="34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Wave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Wave 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E1-01  ·  E1-02  ·  E1-05  ·  E1-03  ·  E1-04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Everything else anchors to the glossary, the visual overview, and the Dark Factory definition. These must exist first.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Wave 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Actors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E3-01  ·  E3-06  ·  E3-03  ·  E3-02  ·  E3-04  ·  E3-05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Readers need a mental model of who does what before stage deep dives make sense.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Wave 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Artefacts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E4-01  ·  E4-02  ·  E4-05  ·  E4-03  ·  E4-04  ·  E4-06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The artefact catalogue bridges actors and workflow — what is produced and by whom.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Wave 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Stage Overviews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E2-07  ·  E2-01  ·  E2-02  ·  E2-03  ·  E2-04  ·  E2-05  ·  E2-06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Transitions first (the 'why move?' question), then each stage in sequence.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Wave 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Worked Examples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E6-01  ·  E6-04  ·  E6-02  ·  E6-03  ·  E6-05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Examples bring the abstract framework to life. The MFA feature example covers all six stages end to end.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Wave 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Organisational &amp; Strategic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E5-01  ·  E5-05  ·  E5-04  ·  E5-02  ·  E5-03  ·  E5-06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Leadership and strategic content comes last — it synthesises everything and speaks to the CTO audience who will have read the technical content.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Full Backlog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All 37 backlog items across 6 Epics. Items are sequenced within each Epic by execution order. Status is updated as work progresses.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E1: Foundations &amp; Framework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0"/>
                <w:szCs w:val="20"/>
              </w:rPr>
              <w:t xml:space="preserve">The core conceptual scaffolding — definitions, the maturity model, and the master narrative that all other content anchors 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2200"/>
        <w:gridCol w:w="1000"/>
        <w:gridCol w:w="800"/>
        <w:gridCol w:w="1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&amp; 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E1-01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Glossary of Terms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Canonical definitions for all six engineering disciplines, plus actors, artefacts, Dark Factory, context rot, harness, specification corpus, and environment map. One-page reference.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E1-02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The Maturity Curve — Visual Overview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 single-page visual: the six stages on a timeline, CMMI mapping, Dark Factory boundary clearly marked, actor involvement shown as a heat band across stages.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E1-03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How to Use This Document — Reader Guide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Navigation guide for each audience type: what to read first, what to skip, how CTOs vs engineers vs architects should engage with the material.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E1-04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The Cumulative Stack Explained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 deep explanation of why these stages don't replace each other but stack — with examples of what breaks when organisations skip stages.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E1-05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The Dark Factory — Extended Definition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Full treatment of the Dark Factory concept: origins, the manufacturing analogy, what "lights off" means in software, the human role transformation, risks and safeguards.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8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E2: Stage Deep Dives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0"/>
                <w:szCs w:val="20"/>
              </w:rPr>
              <w:t xml:space="preserve">Detailed treatment of each stage — going beyond the overview to cover transitions, failure modes, real-world indicators, and what "good" looks like.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2200"/>
        <w:gridCol w:w="1000"/>
        <w:gridCol w:w="800"/>
        <w:gridCol w:w="1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&amp; 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7"/>
                <w:szCs w:val="17"/>
              </w:rPr>
              <w:t xml:space="preserve">E2-01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Stage 1 Deep Dive — Prompt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When it's appropriate, its ceiling, what good prompt practice looks like, and the signals that tell you it's time to evolve to Stage 2.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Engineers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P3 — 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7"/>
                <w:szCs w:val="17"/>
              </w:rPr>
              <w:t xml:space="preserve">E2-02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Stage 2 Deep Dive — Context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Context architecture patterns, RAG design, context rot prevention, the five quality criteria (relevance, sufficiency, isolation, economy, provenance).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Engineers / Architects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7"/>
                <w:szCs w:val="17"/>
              </w:rPr>
              <w:t xml:space="preserve">E2-03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Stage 3 Deep Dive — Intent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How to encode organisational goals into agent infrastructure, intent manifest design, trade-off hierarchy frameworks, detecting intent drift.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Architects / CTOs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7"/>
                <w:szCs w:val="17"/>
              </w:rPr>
              <w:t xml:space="preserve">E2-04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Stage 4 Deep Dive — Specification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Policy-as-code design, specification corpus architecture, machine-readable compliance frameworks, handling specification gaps and edge cases.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Architects / CTOs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7"/>
                <w:szCs w:val="17"/>
              </w:rPr>
              <w:t xml:space="preserve">E2-05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Stage 5 Deep Dive — Harness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Harness anatomy, runtime envelope design, observability patterns, self-healing mechanisms, context window management, the Agent = Model + Harness formula.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Engineers / Architects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7"/>
                <w:szCs w:val="17"/>
              </w:rPr>
              <w:t xml:space="preserve">E2-06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Stage 6 Deep Dive — Environment Engineering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What makes an environment AI-native, redesigning APIs and data models for agent legibility, environment health monitoring, avoiding environment ossification.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Architects / CTOs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7"/>
                <w:szCs w:val="17"/>
              </w:rPr>
              <w:t xml:space="preserve">E2-07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Stage Transition Playbooks (1→2, 2→3, 3→4, 4→5, 5→6)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For each transition: the trigger signals that indicate readiness, the steps to make the transition, the risks during transition, and how to validate you've landed.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8C"/>
                <w:sz w:val="18"/>
                <w:szCs w:val="18"/>
              </w:rPr>
              <w:t xml:space="preserve">XL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E3: Actors — Roles &amp; Evolution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0"/>
                <w:szCs w:val="20"/>
              </w:rPr>
              <w:t xml:space="preserve">How Humans, Agents, and Agent Councils operate, evolve, and interact across the maturity curve. Includes career and organisational implications.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2200"/>
        <w:gridCol w:w="1000"/>
        <w:gridCol w:w="800"/>
        <w:gridCol w:w="1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&amp; 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E3-01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The Human Role Transformation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arc from Maker → Reviewer → Governor → Strategist → Architect. What each role demands, what skills transfer, what must be learned. Practical guidance for engineers navigating this shift.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Engineers / Managers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E3-02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Agent Taxonomy — Types, Capabilities, Limitations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 working taxonomy of agent types relevant to engineering workflow: coding agents, review agents, test agents, deployment agents, coordinator agents, and their capability boundaries.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Engineers / Architects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E3-03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Agent Council Design — Constitution &amp; Governance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How to formally constitute an Agent Council: specialist domains, decision rights, deliberation protocols, escalation triggers, voting vs consensus vs coordinator models.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Architects / CTOs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E3-04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Agent Council Patterns — Architecture, Security, Compliance, Deployment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Reference designs for the four primary domain councils in the Dark Factory: what each governs, how they are staffed, what artefacts they produce, how they interact.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Architects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E3-05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The Meta-Council — Cross-Domain Arbitration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When domain councils conflict, the Meta-Council arbitrates. Design, membership, decision authority, escalation to humans, and failure modes.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Architects / CTOs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E3-06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Human-Agent Handoff Protocols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precise conditions under which work moves from agent to human and back. Escalation packages, evidence standards, decision record formats, response SLAs.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7D3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E4: Artefacts Reference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0"/>
                <w:szCs w:val="20"/>
              </w:rPr>
              <w:t xml:space="preserve">The complete artefact library — what is produced at each stage, by whom, in what format, and how it feeds into subsequent stages.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2200"/>
        <w:gridCol w:w="1000"/>
        <w:gridCol w:w="800"/>
        <w:gridCol w:w="1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&amp; 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7"/>
                <w:szCs w:val="17"/>
              </w:rPr>
              <w:t xml:space="preserve">E4-01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Artefact Catalogue — All Stages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 comprehensive reference of every artefact type in the framework: definition, producer (human/agent/council), consumer, format, governance requirements, and lifecycle.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7"/>
                <w:szCs w:val="17"/>
              </w:rPr>
              <w:t xml:space="preserve">E4-02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Requirements Specification Templates (Human-Authored)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How humans should write requirements at each stage so they are agent-consumable. Structured formats, intent annotations, acceptance criteria patterns, machine-readable schemas.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7"/>
                <w:szCs w:val="17"/>
              </w:rPr>
              <w:t xml:space="preserve">E4-03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Intent Manifest — Reference Design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 worked example of a complete intent manifest: goal hierarchy, trade-off tables, value constraints, conflict resolution rules, versioning and update protocols.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Architects / CTOs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7"/>
                <w:szCs w:val="17"/>
              </w:rPr>
              <w:t xml:space="preserve">E4-04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Specification Corpus — Architecture &amp; Governance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How to build and maintain a machine-readable specification corpus: structure, authoring standards, versioning, conflict detection, gap analysis, and audit linkage.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Architects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7"/>
                <w:szCs w:val="17"/>
              </w:rPr>
              <w:t xml:space="preserve">E4-05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Escalation Package Standard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anatomy of a well-formed escalation package sent from agents to humans: evidence, context, options considered, recommended action, decision record template.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7"/>
                <w:szCs w:val="17"/>
              </w:rPr>
              <w:t xml:space="preserve">E4-06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Environment Map — Reference Design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What an environment map contains, how it is authored and maintained, how agents consume it, and how to detect environment drift.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Architects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P3 — 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E5: Organisational &amp; Strategic Guidance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0"/>
                <w:szCs w:val="20"/>
              </w:rPr>
              <w:t xml:space="preserve">What the framework means for technology leaders, engineering organisations, and enterprise strategy.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2200"/>
        <w:gridCol w:w="1000"/>
        <w:gridCol w:w="800"/>
        <w:gridCol w:w="1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&amp; 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E5-01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Organisational Maturity Assessment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 scored self-assessment tool (questionnaire + scoring rubric) for organisations to place themselves on the maturity curve. Covers technology, process, people, and governance dimensions.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CTOs / Managers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E5-02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The Engineering Team of the Future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What engineering teams look like at Stage 4, 5, and 6: headcount implications, role evolution, new specialisms (harness engineers, environment architects, intent authors), hiring and upskilling.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CTOs / Managers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E5-03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Investment &amp; Roadmap Planning Guide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How to plan the maturity journey: what investments each transition requires, build vs buy decisions, sequencing, typical timelines, and ROI framing for each stage.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CTOs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E5-04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Risk Register — Across All Stages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 consolidated risk register covering the stage-specific risks from the framework plus cross-cutting risks: security, compliance, AI governance, vendor dependency, skills gaps.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CTOs / Architects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E5-05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AI Governance in the Dark Factory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How governance must evolve when agents own the workflow: auditability requirements, explainability standards, human oversight mechanisms, regulatory considerations.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CTOs / Architects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D1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7"/>
                <w:szCs w:val="17"/>
              </w:rPr>
              <w:t xml:space="preserve">E5-06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Vendor &amp; Tooling Landscape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Which tools and platforms support each stage: RAG platforms (Stage 2), intent frameworks (Stage 3), policy-as-code tools (Stage 4), harness runtimes (Stage 5), environment engineering platforms (Stage 6).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Architects / CTOs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P3 — Medium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E6: Practical Guides &amp; Worked Examples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0"/>
                <w:szCs w:val="20"/>
              </w:rPr>
              <w:t xml:space="preserve">Hands-on material: worked examples, case studies, and practical guides that make the framework actionable.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2200"/>
        <w:gridCol w:w="1000"/>
        <w:gridCol w:w="800"/>
        <w:gridCol w:w="100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&amp; Description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E6-01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Worked Example — Feature Delivery at Each Stage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 single feature request ("add multi-factor authentication") traced through all six stages: who does what, what is produced, how long it takes, what quality looks like. The same story, six ways.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XL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E6-02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Worked Example — Incident Response at Each Stage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 production incident traced through each stage to show how human-agent collaboration during failure evolves across the maturity curve.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Engineers / Managers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E6-03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Anti-Patterns Library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most common mistakes at each stage: skipping stages, over-prompting in a context world, intent-less agents, harnessless deployments, environment ossification. Each with diagnosis and remedy.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E6-04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The Stage 3→4 Transition in Detail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hardest transition — from human-governed to dark factory. A step-by-step playbook: what must be in place, how to pilot, how to validate, how to roll back if needed.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P1 — Critical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7"/>
                <w:szCs w:val="17"/>
              </w:rPr>
              <w:t xml:space="preserve">E6-05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Dark Factory Operating Model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How to run a Stage 4-6 engineering organisation day-to-day: the human team structure, the exception management rhythm, the council reporting cadence, the environment review cycle.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Managers / CTOs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P2 — High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4"/>
          <w:szCs w:val="34"/>
        </w:rPr>
        <w:t xml:space="preserve">How We Work — Session Protocol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Each working session follows this protocol to keep the backlog and master document in sync.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Review the Status Dashboard — confirm which item is next in the breadth-first sequence.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Mark the item "In Progress" in the backlog.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Write the section to overview depth — comprehensive but not exhaustive. Aim for the level that a senior reader from any audience can understand and use.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Add the completed section to the master document.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Mark the item "Done" and update the Status Dashboard.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Confirm next item with the user before proceeding, or proceed automatically if instructed.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💡</w:t>
            </w:r>
          </w:p>
        </w:tc>
        <w:tc>
          <w:tcPr>
            <w:tcW w:type="dxa" w:w="8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Depth-pass rule: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Once the breadth pass is complete (all 37 items at overview level), we return for a second pass to deepen any section the user nominates. Deepening is always done by explicit instruction — no section is deepened automatically.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2026-05-03T08:13:28.822Z</dcterms:created>
  <dcterms:modified xsi:type="dcterms:W3CDTF">2026-05-03T08:13:28.839Z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