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200"/>
      </w:pPr>
      <w:r>
        <w:rPr>
          <w:rFonts w:ascii="Calibri" w:cs="Calibri" w:eastAsia="Calibri" w:hAnsi="Calibri"/>
          <w:b/>
          <w:bCs/>
          <w:color w:val="0A0A0A"/>
          <w:sz w:val="72"/>
          <w:szCs w:val="72"/>
        </w:rPr>
        <w:t xml:space="preserve">G×O→M</w:t>
      </w:r>
    </w:p>
    <w:p>
      <w:pPr>
        <w:spacing w:after="80"/>
      </w:pPr>
      <w:r>
        <w:rPr>
          <w:rFonts w:ascii="Georgia" w:cs="Georgia" w:eastAsia="Georgia" w:hAnsi="Georgia"/>
          <w:i/>
          <w:iCs/>
          <w:color w:val="5A5A55"/>
          <w:sz w:val="28"/>
          <w:szCs w:val="28"/>
        </w:rPr>
        <w:t xml:space="preserve">Gene × Organismo → Mutazione</w:t>
      </w:r>
    </w:p>
    <w:p>
      <w:pPr>
        <w:pBdr>
          <w:bottom w:val="single" w:color="D1D1CC" w:sz="4" w:space="8"/>
        </w:pBdr>
        <w:spacing w:after="400"/>
      </w:pPr>
    </w:p>
    <w:p>
      <w:pPr>
        <w:spacing w:after="120"/>
      </w:pPr>
      <w:r>
        <w:rPr>
          <w:rFonts w:ascii="Georgia" w:cs="Georgia" w:eastAsia="Georgia" w:hAnsi="Georgia"/>
          <w:color w:val="5A5A55"/>
          <w:sz w:val="24"/>
          <w:szCs w:val="24"/>
        </w:rPr>
        <w:t xml:space="preserve">Un framework generativo per la produzione di idee creative attraverso il vincolo incrociato.</w:t>
      </w:r>
    </w:p>
    <w:p>
      <w:pPr>
        <w:spacing w:before="1200" w:after="1200"/>
      </w:pPr>
    </w:p>
    <w:p>
      <w:pPr>
        <w:spacing w:after="60"/>
      </w:pPr>
      <w:r>
        <w:rPr>
          <w:rFonts w:ascii="Calibri" w:cs="Calibri" w:eastAsia="Calibri" w:hAnsi="Calibri"/>
          <w:b/>
          <w:bCs/>
          <w:color w:val="0A0A0A"/>
          <w:sz w:val="22"/>
          <w:szCs w:val="22"/>
        </w:rPr>
        <w:t xml:space="preserve">Simone Dall’Angelo</w:t>
      </w:r>
    </w:p>
    <w:p>
      <w:pPr>
        <w:spacing w:after="60"/>
      </w:pPr>
      <w:r>
        <w:rPr>
          <w:rFonts w:ascii="Calibri" w:cs="Calibri" w:eastAsia="Calibri" w:hAnsi="Calibri"/>
          <w:color w:val="8A8A85"/>
          <w:sz w:val="20"/>
          <w:szCs w:val="20"/>
        </w:rPr>
        <w:t xml:space="preserve">White Paper — Marzo 2026</w:t>
      </w:r>
    </w:p>
    <w:p>
      <w:r>
        <w:rPr>
          <w:rFonts w:ascii="Calibri" w:cs="Calibri" w:eastAsia="Calibri" w:hAnsi="Calibri"/>
          <w:color w:val="8A8A85"/>
          <w:sz w:val="20"/>
          <w:szCs w:val="20"/>
        </w:rPr>
        <w:t xml:space="preserve">v1.0</w:t>
      </w:r>
    </w:p>
    <w:p>
      <w:pPr>
        <w:sectPr>
          <w:pgSz w:w="11906" w:h="16838" w:orient="portrait"/>
          <w:pgMar w:top="2880" w:right="1440" w:bottom="1440" w:left="1440" w:header="708" w:footer="708" w:gutter="0"/>
          <w:pgNumType/>
          <w:docGrid w:linePitch="360"/>
        </w:sectPr>
      </w:pPr>
    </w:p>
    <w:p>
      <w:pPr>
        <w:spacing w:before="360" w:after="80"/>
      </w:pPr>
      <w:r>
        <w:rPr>
          <w:rFonts w:ascii="Calibri" w:cs="Calibri" w:eastAsia="Calibri" w:hAnsi="Calibri"/>
          <w:b/>
          <w:bCs/>
          <w:color w:val="8A8A85"/>
          <w:spacing w:val="120"/>
          <w:sz w:val="16"/>
          <w:szCs w:val="16"/>
        </w:rPr>
        <w:t xml:space="preserve">ABSTRACT</w:t>
      </w:r>
    </w:p>
    <w:p>
      <w:pPr>
        <w:pStyle w:val="Heading1"/>
      </w:pPr>
      <w:r>
        <w:rPr>
          <w:rFonts w:ascii="Calibri" w:cs="Calibri" w:eastAsia="Calibri" w:hAnsi="Calibri"/>
        </w:rPr>
        <w:t xml:space="preserve">Un nuovo approccio alla generazione di brief creativi</w:t>
      </w:r>
    </w:p>
    <w:p>
      <w:pPr>
        <w:spacing w:after="160" w:line="340"/>
      </w:pPr>
      <w:r>
        <w:rPr>
          <w:rFonts w:ascii="Georgia" w:cs="Georgia" w:eastAsia="Georgia" w:hAnsi="Georgia"/>
          <w:color w:val="0A0A0A"/>
          <w:sz w:val="22"/>
          <w:szCs w:val="22"/>
        </w:rPr>
        <w:t xml:space="preserve">G×O→M è un framework generativo che produce idee creative attraverso il vincolo incrociato di tre componenti: un Gene (concetto astratto portatore di un meccanismo di trasformazione), un Organismo (brand con identità riconoscibile) e una Mutazione (output progettuale che emerge dal loro incontro). Il valore del metodo risiede nella creazione di uno spazio creativo che è simultaneamente vincolato e aperto: i parametri limitano la direzione, ma non il risultato.</w:t>
      </w:r>
    </w:p>
    <w:p>
      <w:pPr>
        <w:spacing w:after="160" w:line="340"/>
      </w:pPr>
      <w:r>
        <w:rPr>
          <w:rFonts w:ascii="Georgia" w:cs="Georgia" w:eastAsia="Georgia" w:hAnsi="Georgia"/>
          <w:color w:val="0A0A0A"/>
          <w:sz w:val="22"/>
          <w:szCs w:val="22"/>
        </w:rPr>
        <w:t xml:space="preserve">Il framework nasce dall’osservazione che i brief creativi tradizionali soffrono di un problema strutturale: sono o troppo aperti (non generano direzione) o troppo chiusi (non generano pensiero). G×O→M si colloca nel punto intermedio, offrendo vincoli sufficienti a forzare il pensiero laterale e libertà sufficiente a produrre risultati imprevedibili.</w:t>
      </w:r>
    </w:p>
    <w:p>
      <w:pPr>
        <w:spacing w:after="160" w:line="340"/>
      </w:pPr>
      <w:r>
        <w:rPr>
          <w:rFonts w:ascii="Georgia" w:cs="Georgia" w:eastAsia="Georgia" w:hAnsi="Georgia"/>
          <w:color w:val="0A0A0A"/>
          <w:sz w:val="22"/>
          <w:szCs w:val="22"/>
        </w:rPr>
        <w:t xml:space="preserve">Sviluppato e testato in contesti didattici universitari durante sessioni di lavoro ad alta intensità, il framework si è dimostrato efficace nel generare brief creativi che producono risposte significativamente più originali rispetto ai brief tradizionali. La sua struttura modulare lo rende applicabile a qualsiasi contesto in cui serva generare idee sotto vincolo: brainstorming strategici, workshop creativi, sessioni di ideazione, corsi di formazione.</w:t>
      </w:r>
    </w:p>
    <w:p>
      <w:r>
        <w:br w:type="page"/>
      </w:r>
    </w:p>
    <w:p>
      <w:pPr>
        <w:spacing w:before="360" w:after="80"/>
      </w:pPr>
      <w:r>
        <w:rPr>
          <w:rFonts w:ascii="Calibri" w:cs="Calibri" w:eastAsia="Calibri" w:hAnsi="Calibri"/>
          <w:b/>
          <w:bCs/>
          <w:color w:val="8A8A85"/>
          <w:spacing w:val="120"/>
          <w:sz w:val="16"/>
          <w:szCs w:val="16"/>
        </w:rPr>
        <w:t xml:space="preserve">CAPITOLO 1</w:t>
      </w:r>
    </w:p>
    <w:p>
      <w:pPr>
        <w:pStyle w:val="Heading1"/>
      </w:pPr>
      <w:r>
        <w:rPr>
          <w:rFonts w:ascii="Calibri" w:cs="Calibri" w:eastAsia="Calibri" w:hAnsi="Calibri"/>
        </w:rPr>
        <w:t xml:space="preserve">Il problema: l’inadeguatezza dei brief creativi tradizionali</w:t>
      </w:r>
    </w:p>
    <w:p>
      <w:pPr>
        <w:spacing w:after="160" w:line="340"/>
      </w:pPr>
      <w:r>
        <w:rPr>
          <w:rFonts w:ascii="Georgia" w:cs="Georgia" w:eastAsia="Georgia" w:hAnsi="Georgia"/>
          <w:color w:val="0A0A0A"/>
          <w:sz w:val="22"/>
          <w:szCs w:val="22"/>
        </w:rPr>
        <w:t xml:space="preserve">Chiunque abbia lavorato nella comunicazione, nel design o nella strategia creativa conosce il paradosso del brief: più libertà dai, più generici sono i risultati. Più vincoli imponi, più prevedibili diventano.</w:t>
      </w:r>
    </w:p>
    <w:p>
      <w:pPr>
        <w:spacing w:after="160" w:line="340"/>
      </w:pPr>
      <w:r>
        <w:rPr>
          <w:rFonts w:ascii="Georgia" w:cs="Georgia" w:eastAsia="Georgia" w:hAnsi="Georgia"/>
          <w:color w:val="0A0A0A"/>
          <w:sz w:val="22"/>
          <w:szCs w:val="22"/>
        </w:rPr>
        <w:t xml:space="preserve">Un brief aperto come “pensa a qualcosa di creativo per questo brand” produce invariabilmente risposte generiche: campagne che potrebbero funzionare per qualsiasi brand, concept che non sorprendono nessuno, idee che “funzionano” senza essere memorabili. L’assenza di vincoli non libera la creatività — la disperde.</w:t>
      </w:r>
    </w:p>
    <w:p>
      <w:pPr>
        <w:spacing w:after="160" w:line="340"/>
      </w:pPr>
      <w:r>
        <w:rPr>
          <w:rFonts w:ascii="Georgia" w:cs="Georgia" w:eastAsia="Georgia" w:hAnsi="Georgia"/>
          <w:color w:val="0A0A0A"/>
          <w:sz w:val="22"/>
          <w:szCs w:val="22"/>
        </w:rPr>
        <w:t xml:space="preserve">All’opposto, un brief chiuso come “fai un post Instagram con questo copy e questa immagine” elimina completamente lo spazio del pensiero strategico. Il risultato può essere eseguito con competenza, ma non genera scoperta. Non c’è mutazione, solo replicazione.</w:t>
      </w:r>
    </w:p>
    <w:p>
      <w:pPr>
        <w:spacing w:after="160" w:line="340"/>
      </w:pPr>
      <w:r>
        <w:rPr>
          <w:rFonts w:ascii="Georgia" w:cs="Georgia" w:eastAsia="Georgia" w:hAnsi="Georgia"/>
          <w:color w:val="0A0A0A"/>
          <w:sz w:val="22"/>
          <w:szCs w:val="22"/>
        </w:rPr>
        <w:t xml:space="preserve">La ricerca sulla creatività conferma questa intuizione: i risultati più originali emergono da vincoli moderati. Non dalla libertà totale, non dalla prescrizione rigida, ma da quello che potremmo chiamare vincolo generativo — un limite che forza il pensiero in una direzione inattesa senza predeterminare l’arrivo.</w:t>
      </w:r>
    </w:p>
    <w:p>
      <w:pPr>
        <w:spacing w:after="160" w:line="340"/>
      </w:pPr>
      <w:r>
        <w:rPr>
          <w:rFonts w:ascii="Georgia" w:cs="Georgia" w:eastAsia="Georgia" w:hAnsi="Georgia"/>
          <w:color w:val="0A0A0A"/>
          <w:sz w:val="22"/>
          <w:szCs w:val="22"/>
        </w:rPr>
        <w:t xml:space="preserve">G×O→M è stato progettato per essere esattamente questo: un generatore di vincoli creativi calibrati.</w:t>
      </w:r>
    </w:p>
    <w:p>
      <w:r>
        <w:br w:type="page"/>
      </w:r>
    </w:p>
    <w:p>
      <w:pPr>
        <w:spacing w:before="360" w:after="80"/>
      </w:pPr>
      <w:r>
        <w:rPr>
          <w:rFonts w:ascii="Calibri" w:cs="Calibri" w:eastAsia="Calibri" w:hAnsi="Calibri"/>
          <w:b/>
          <w:bCs/>
          <w:color w:val="8A8A85"/>
          <w:spacing w:val="120"/>
          <w:sz w:val="16"/>
          <w:szCs w:val="16"/>
        </w:rPr>
        <w:t xml:space="preserve">CAPITOLO 2</w:t>
      </w:r>
    </w:p>
    <w:p>
      <w:pPr>
        <w:pStyle w:val="Heading1"/>
      </w:pPr>
      <w:r>
        <w:rPr>
          <w:rFonts w:ascii="Calibri" w:cs="Calibri" w:eastAsia="Calibri" w:hAnsi="Calibri"/>
        </w:rPr>
        <w:t xml:space="preserve">Il framework: Gene × Organismo → Mutazione</w:t>
      </w:r>
    </w:p>
    <w:p>
      <w:pPr>
        <w:spacing w:after="160" w:line="340"/>
      </w:pPr>
      <w:r>
        <w:rPr>
          <w:rFonts w:ascii="Georgia" w:cs="Georgia" w:eastAsia="Georgia" w:hAnsi="Georgia"/>
          <w:color w:val="0A0A0A"/>
          <w:sz w:val="22"/>
          <w:szCs w:val="22"/>
        </w:rPr>
        <w:t xml:space="preserve">G×O→M è composto da tre componenti che operano come una formula: il Gene moltiplica l’Organismo e il risultato è la Mutazione. La metafora non è casuale: il framework adotta il linguaggio della genetica perché il processo che descrive è analogo a una mutagenesi deliberata.</w:t>
      </w:r>
    </w:p>
    <w:p>
      <w:pPr>
        <w:pStyle w:val="Heading2"/>
      </w:pPr>
      <w:r>
        <w:rPr>
          <w:rFonts w:ascii="Calibri" w:cs="Calibri" w:eastAsia="Calibri" w:hAnsi="Calibri"/>
        </w:rPr>
        <w:t xml:space="preserve">2.1 Il Gene</w:t>
      </w:r>
    </w:p>
    <w:p>
      <w:pPr>
        <w:spacing w:after="160" w:line="340"/>
      </w:pPr>
      <w:r>
        <w:rPr>
          <w:rFonts w:ascii="Georgia" w:cs="Georgia" w:eastAsia="Georgia" w:hAnsi="Georgia"/>
          <w:color w:val="0A0A0A"/>
          <w:sz w:val="22"/>
          <w:szCs w:val="22"/>
        </w:rPr>
        <w:t xml:space="preserve">Il Gene è un concetto astratto che contiene in sé un meccanismo di trasformazione. Non descrive uno stato (come “bellezza”), non prescrive un risultato (come “innovazione”), ma codifica un modo di operare che, applicato a qualsiasi soggetto, ne forza una rilettura.</w:t>
      </w:r>
    </w:p>
    <w:p>
      <w:pPr>
        <w:pStyle w:val="Heading3"/>
      </w:pPr>
      <w:r>
        <w:rPr>
          <w:rFonts w:ascii="Calibri" w:cs="Calibri" w:eastAsia="Calibri" w:hAnsi="Calibri"/>
        </w:rPr>
        <w:t xml:space="preserve">Criterio di validità</w:t>
      </w:r>
    </w:p>
    <w:p>
      <w:pPr>
        <w:spacing w:after="160" w:line="340"/>
      </w:pPr>
      <w:r>
        <w:rPr>
          <w:rFonts w:ascii="Georgia" w:cs="Georgia" w:eastAsia="Georgia" w:hAnsi="Georgia"/>
          <w:color w:val="0A0A0A"/>
          <w:sz w:val="22"/>
          <w:szCs w:val="22"/>
        </w:rPr>
        <w:t xml:space="preserve">Un concetto è un Gene valido se, quando lo applichi a un soggetto qualsiasi, produce una trasformazione specifica nella lettura di quel soggetto, ma con esiti non predeterminati.</w:t>
      </w:r>
    </w:p>
    <w:p>
      <w:pPr>
        <w:pStyle w:val="Heading3"/>
      </w:pPr>
      <w:r>
        <w:rPr>
          <w:rFonts w:ascii="Calibri" w:cs="Calibri" w:eastAsia="Calibri" w:hAnsi="Calibri"/>
        </w:rPr>
        <w:t xml:space="preserve">Test pratico</w:t>
      </w:r>
    </w:p>
    <w:p>
      <w:pPr>
        <w:spacing w:after="160" w:line="340"/>
      </w:pPr>
      <w:r>
        <w:rPr>
          <w:rFonts w:ascii="Georgia" w:cs="Georgia" w:eastAsia="Georgia" w:hAnsi="Georgia"/>
          <w:color w:val="0A0A0A"/>
          <w:sz w:val="22"/>
          <w:szCs w:val="22"/>
        </w:rPr>
        <w:t xml:space="preserve">Se il concetto genera una sola interpretazione possibile, è troppo stretto. Se ne genera infinite senza direzione, è troppo vago. Un buon Gene genera direzioni multiple ma riconoscibili.</w:t>
      </w:r>
    </w:p>
    <w:p>
      <w:pPr>
        <w:pStyle w:val="Heading3"/>
      </w:pPr>
      <w:r>
        <w:rPr>
          <w:rFonts w:ascii="Calibri" w:cs="Calibri" w:eastAsia="Calibri" w:hAnsi="Calibri"/>
        </w:rPr>
        <w:t xml:space="preserve">Famiglie di Geni</w:t>
      </w:r>
    </w:p>
    <w:p>
      <w:pPr>
        <w:spacing w:after="160" w:line="340"/>
      </w:pPr>
      <w:r>
        <w:rPr>
          <w:rFonts w:ascii="Georgia" w:cs="Georgia" w:eastAsia="Georgia" w:hAnsi="Georgia"/>
          <w:color w:val="0A0A0A"/>
          <w:sz w:val="22"/>
          <w:szCs w:val="22"/>
        </w:rPr>
        <w:t xml:space="preserve">Il framework identifica quattro famiglie di Geni, ciascuna con caratteristiche diverse: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sz="0"/>
              <w:left w:val="none" w:sz="0"/>
              <w:bottom w:val="single" w:color="D1D1CC" w:sz="2"/>
              <w:right w:val="none" w:sz="0"/>
            </w:tcBorders>
            <w:shd w:fill="F5F5F0" w:val="clear"/>
            <w:tcMar>
              <w:top w:type="dxa" w:w="100"/>
              <w:left w:type="dxa" w:w="120"/>
              <w:bottom w:type="dxa" w:w="100"/>
              <w:right w:type="dxa" w:w="120"/>
            </w:tcMar>
          </w:tcPr>
          <w:p>
            <w:r>
              <w:rPr>
                <w:rFonts w:ascii="Calibri" w:cs="Calibri" w:eastAsia="Calibri" w:hAnsi="Calibri"/>
                <w:b/>
                <w:bCs/>
                <w:color w:val="8A8A85"/>
                <w:sz w:val="18"/>
                <w:szCs w:val="18"/>
              </w:rPr>
              <w:t xml:space="preserve">FAMIGLIA</w:t>
            </w:r>
          </w:p>
        </w:tc>
        <w:tc>
          <w:tcPr>
            <w:tcW w:type="dxa" w:w="6226"/>
            <w:tcBorders>
              <w:top w:val="none" w:sz="0"/>
              <w:left w:val="none" w:sz="0"/>
              <w:bottom w:val="single" w:color="D1D1CC" w:sz="2"/>
              <w:right w:val="none" w:sz="0"/>
            </w:tcBorders>
            <w:shd w:fill="F5F5F0" w:val="clear"/>
            <w:tcMar>
              <w:top w:type="dxa" w:w="100"/>
              <w:left w:type="dxa" w:w="120"/>
              <w:bottom w:type="dxa" w:w="100"/>
              <w:right w:type="dxa" w:w="120"/>
            </w:tcMar>
          </w:tcPr>
          <w:p>
            <w:r>
              <w:rPr>
                <w:rFonts w:ascii="Calibri" w:cs="Calibri" w:eastAsia="Calibri" w:hAnsi="Calibri"/>
                <w:b/>
                <w:bCs/>
                <w:color w:val="8A8A85"/>
                <w:sz w:val="18"/>
                <w:szCs w:val="18"/>
              </w:rPr>
              <w:t xml:space="preserve">ESEMPI</w:t>
            </w:r>
          </w:p>
        </w:tc>
      </w:tr>
      <w:tr>
        <w:tc>
          <w:tcPr>
            <w:tcW w:type="dxa" w:w="2800"/>
            <w:tcBorders>
              <w:top w:val="none" w:sz="0"/>
              <w:left w:val="none" w:sz="0"/>
              <w:bottom w:val="single" w:color="D1D1CC" w:sz="2"/>
              <w:right w:val="none" w:sz="0"/>
            </w:tcBorders>
            <w:tcMar>
              <w:top w:type="dxa" w:w="100"/>
              <w:left w:type="dxa" w:w="120"/>
              <w:bottom w:type="dxa" w:w="100"/>
              <w:right w:type="dxa" w:w="120"/>
            </w:tcMar>
          </w:tcPr>
          <w:p>
            <w:r>
              <w:rPr>
                <w:rFonts w:ascii="Georgia" w:cs="Georgia" w:eastAsia="Georgia" w:hAnsi="Georgia"/>
                <w:b/>
                <w:bCs/>
                <w:sz w:val="20"/>
                <w:szCs w:val="20"/>
              </w:rPr>
              <w:t xml:space="preserve">Pattern scientifici e filosofici</w:t>
            </w:r>
          </w:p>
        </w:tc>
        <w:tc>
          <w:tcPr>
            <w:tcW w:type="dxa" w:w="6226"/>
            <w:tcBorders>
              <w:top w:val="none" w:sz="0"/>
              <w:left w:val="none" w:sz="0"/>
              <w:bottom w:val="single" w:color="D1D1CC" w:sz="2"/>
              <w:right w:val="none" w:sz="0"/>
            </w:tcBorders>
            <w:tcMar>
              <w:top w:type="dxa" w:w="100"/>
              <w:left w:type="dxa" w:w="120"/>
              <w:bottom w:type="dxa" w:w="100"/>
              <w:right w:type="dxa" w:w="120"/>
            </w:tcMar>
          </w:tcPr>
          <w:p>
            <w:r>
              <w:rPr>
                <w:rFonts w:ascii="Georgia" w:cs="Georgia" w:eastAsia="Georgia" w:hAnsi="Georgia"/>
                <w:color w:val="5A5A55"/>
                <w:sz w:val="20"/>
                <w:szCs w:val="20"/>
              </w:rPr>
              <w:t xml:space="preserve">Ricorsività, Entropia, Simbiosi, Frattale, Paradosso, Metamorfosi, Risonanza, Effimero, Osmosi, Inerzia, Erosione, Emergenza</w:t>
            </w:r>
          </w:p>
        </w:tc>
      </w:tr>
      <w:tr>
        <w:tc>
          <w:tcPr>
            <w:tcW w:type="dxa" w:w="2800"/>
            <w:tcBorders>
              <w:top w:val="none" w:sz="0"/>
              <w:left w:val="none" w:sz="0"/>
              <w:bottom w:val="single" w:color="D1D1CC" w:sz="2"/>
              <w:right w:val="none" w:sz="0"/>
            </w:tcBorders>
            <w:tcMar>
              <w:top w:type="dxa" w:w="100"/>
              <w:left w:type="dxa" w:w="120"/>
              <w:bottom w:type="dxa" w:w="100"/>
              <w:right w:type="dxa" w:w="120"/>
            </w:tcMar>
          </w:tcPr>
          <w:p>
            <w:r>
              <w:rPr>
                <w:rFonts w:ascii="Georgia" w:cs="Georgia" w:eastAsia="Georgia" w:hAnsi="Georgia"/>
                <w:b/>
                <w:bCs/>
                <w:sz w:val="20"/>
                <w:szCs w:val="20"/>
              </w:rPr>
              <w:t xml:space="preserve">Figure retoriche</w:t>
            </w:r>
          </w:p>
        </w:tc>
        <w:tc>
          <w:tcPr>
            <w:tcW w:type="dxa" w:w="6226"/>
            <w:tcBorders>
              <w:top w:val="none" w:sz="0"/>
              <w:left w:val="none" w:sz="0"/>
              <w:bottom w:val="single" w:color="D1D1CC" w:sz="2"/>
              <w:right w:val="none" w:sz="0"/>
            </w:tcBorders>
            <w:tcMar>
              <w:top w:type="dxa" w:w="100"/>
              <w:left w:type="dxa" w:w="120"/>
              <w:bottom w:type="dxa" w:w="100"/>
              <w:right w:type="dxa" w:w="120"/>
            </w:tcMar>
          </w:tcPr>
          <w:p>
            <w:r>
              <w:rPr>
                <w:rFonts w:ascii="Georgia" w:cs="Georgia" w:eastAsia="Georgia" w:hAnsi="Georgia"/>
                <w:color w:val="5A5A55"/>
                <w:sz w:val="20"/>
                <w:szCs w:val="20"/>
              </w:rPr>
              <w:t xml:space="preserve">Ossimoro, Sinestesia, Anafora, Chiasmo, Litote, Sineddoche, Metonimia, Onomatopea, Iperbole, Allegoria, Antitesi, Ellissi</w:t>
            </w:r>
          </w:p>
        </w:tc>
      </w:tr>
      <w:tr>
        <w:tc>
          <w:tcPr>
            <w:tcW w:type="dxa" w:w="2800"/>
            <w:tcBorders>
              <w:top w:val="none" w:sz="0"/>
              <w:left w:val="none" w:sz="0"/>
              <w:bottom w:val="single" w:color="D1D1CC" w:sz="2"/>
              <w:right w:val="none" w:sz="0"/>
            </w:tcBorders>
            <w:tcMar>
              <w:top w:type="dxa" w:w="100"/>
              <w:left w:type="dxa" w:w="120"/>
              <w:bottom w:type="dxa" w:w="100"/>
              <w:right w:type="dxa" w:w="120"/>
            </w:tcMar>
          </w:tcPr>
          <w:p>
            <w:r>
              <w:rPr>
                <w:rFonts w:ascii="Georgia" w:cs="Georgia" w:eastAsia="Georgia" w:hAnsi="Georgia"/>
                <w:b/>
                <w:bCs/>
                <w:sz w:val="20"/>
                <w:szCs w:val="20"/>
              </w:rPr>
              <w:t xml:space="preserve">Meccanismi psicologici</w:t>
            </w:r>
          </w:p>
        </w:tc>
        <w:tc>
          <w:tcPr>
            <w:tcW w:type="dxa" w:w="6226"/>
            <w:tcBorders>
              <w:top w:val="none" w:sz="0"/>
              <w:left w:val="none" w:sz="0"/>
              <w:bottom w:val="single" w:color="D1D1CC" w:sz="2"/>
              <w:right w:val="none" w:sz="0"/>
            </w:tcBorders>
            <w:tcMar>
              <w:top w:type="dxa" w:w="100"/>
              <w:left w:type="dxa" w:w="120"/>
              <w:bottom w:type="dxa" w:w="100"/>
              <w:right w:type="dxa" w:w="120"/>
            </w:tcMar>
          </w:tcPr>
          <w:p>
            <w:r>
              <w:rPr>
                <w:rFonts w:ascii="Georgia" w:cs="Georgia" w:eastAsia="Georgia" w:hAnsi="Georgia"/>
                <w:color w:val="5A5A55"/>
                <w:sz w:val="20"/>
                <w:szCs w:val="20"/>
              </w:rPr>
              <w:t xml:space="preserve">Nostalgia, Dissonanza cognitiva, Pareidolia, Proiezione, Priming, Apofenia, Effetto uncanny, Déjà vu, Flusso, Rimozione</w:t>
            </w:r>
          </w:p>
        </w:tc>
      </w:tr>
      <w:tr>
        <w:tc>
          <w:tcPr>
            <w:tcW w:type="dxa" w:w="2800"/>
            <w:tcBorders>
              <w:top w:val="none" w:sz="0"/>
              <w:left w:val="none" w:sz="0"/>
              <w:bottom w:val="single" w:color="D1D1CC" w:sz="2"/>
              <w:right w:val="none" w:sz="0"/>
            </w:tcBorders>
            <w:tcMar>
              <w:top w:type="dxa" w:w="100"/>
              <w:left w:type="dxa" w:w="120"/>
              <w:bottom w:type="dxa" w:w="100"/>
              <w:right w:type="dxa" w:w="120"/>
            </w:tcMar>
          </w:tcPr>
          <w:p>
            <w:r>
              <w:rPr>
                <w:rFonts w:ascii="Georgia" w:cs="Georgia" w:eastAsia="Georgia" w:hAnsi="Georgia"/>
                <w:b/>
                <w:bCs/>
                <w:sz w:val="20"/>
                <w:szCs w:val="20"/>
              </w:rPr>
              <w:t xml:space="preserve">Principi fisici e naturali</w:t>
            </w:r>
          </w:p>
        </w:tc>
        <w:tc>
          <w:tcPr>
            <w:tcW w:type="dxa" w:w="6226"/>
            <w:tcBorders>
              <w:top w:val="none" w:sz="0"/>
              <w:left w:val="none" w:sz="0"/>
              <w:bottom w:val="single" w:color="D1D1CC" w:sz="2"/>
              <w:right w:val="none" w:sz="0"/>
            </w:tcBorders>
            <w:tcMar>
              <w:top w:type="dxa" w:w="100"/>
              <w:left w:type="dxa" w:w="120"/>
              <w:bottom w:type="dxa" w:w="100"/>
              <w:right w:type="dxa" w:w="120"/>
            </w:tcMar>
          </w:tcPr>
          <w:p>
            <w:r>
              <w:rPr>
                <w:rFonts w:ascii="Georgia" w:cs="Georgia" w:eastAsia="Georgia" w:hAnsi="Georgia"/>
                <w:color w:val="5A5A55"/>
                <w:sz w:val="20"/>
                <w:szCs w:val="20"/>
              </w:rPr>
              <w:t xml:space="preserve">Attrito, Rifrazione, Capillarità, Tensione superficiale, Eco, Ombra, Sedimentazione, Propagazione, Soglia, Saturazione</w:t>
            </w:r>
          </w:p>
        </w:tc>
      </w:tr>
    </w:tbl>
    <w:p>
      <w:pPr>
        <w:spacing w:before="120" w:after="120"/>
      </w:pPr>
    </w:p>
    <w:p>
      <w:pPr>
        <w:spacing w:after="160" w:line="340"/>
      </w:pPr>
      <w:r>
        <w:rPr>
          <w:rFonts w:ascii="Georgia" w:cs="Georgia" w:eastAsia="Georgia" w:hAnsi="Georgia"/>
          <w:color w:val="0A0A0A"/>
          <w:sz w:val="22"/>
          <w:szCs w:val="22"/>
        </w:rPr>
        <w:t xml:space="preserve">La granularità dei Geni può variare: un principio universale come “entropia” e una tecnica puntuale come “ossimoro” sono entrambi Geni validi. La varietà di granularità arricchisce il framework perché produce tipi diversi di ragionamento creativo. In una singola sessione di lavoro, è consigliabile proporre Geni dalla stessa famiglia per mantenere coerenza nel livello di discorso, ma il framework non lo impone come vincolo.</w:t>
      </w:r>
    </w:p>
    <w:p>
      <w:pPr>
        <w:pStyle w:val="Heading2"/>
      </w:pPr>
      <w:r>
        <w:rPr>
          <w:rFonts w:ascii="Calibri" w:cs="Calibri" w:eastAsia="Calibri" w:hAnsi="Calibri"/>
        </w:rPr>
        <w:t xml:space="preserve">2.2 L’Organismo</w:t>
      </w:r>
    </w:p>
    <w:p>
      <w:pPr>
        <w:spacing w:after="160" w:line="340"/>
      </w:pPr>
      <w:r>
        <w:rPr>
          <w:rFonts w:ascii="Georgia" w:cs="Georgia" w:eastAsia="Georgia" w:hAnsi="Georgia"/>
          <w:color w:val="0A0A0A"/>
          <w:sz w:val="22"/>
          <w:szCs w:val="22"/>
        </w:rPr>
        <w:t xml:space="preserve">L’Organismo è un brand con un’identità riconoscibile. Il brand funziona come Organismo perché possiede già un “DNA” — valori, tono di voce, storia, posizionamento, immaginario — rispetto al quale la mutazione diventa visibile e significativa.</w:t>
      </w:r>
    </w:p>
    <w:p>
      <w:pPr>
        <w:pStyle w:val="Heading3"/>
      </w:pPr>
      <w:r>
        <w:rPr>
          <w:rFonts w:ascii="Calibri" w:cs="Calibri" w:eastAsia="Calibri" w:hAnsi="Calibri"/>
        </w:rPr>
        <w:t xml:space="preserve">Criterio di validità</w:t>
      </w:r>
    </w:p>
    <w:p>
      <w:pPr>
        <w:spacing w:after="160" w:line="340"/>
      </w:pPr>
      <w:r>
        <w:rPr>
          <w:rFonts w:ascii="Georgia" w:cs="Georgia" w:eastAsia="Georgia" w:hAnsi="Georgia"/>
          <w:color w:val="0A0A0A"/>
          <w:sz w:val="22"/>
          <w:szCs w:val="22"/>
        </w:rPr>
        <w:t xml:space="preserve">Un brand è un buon Organismo se ha un’identità sufficientemente forte e riconoscibile da rendere percepibile la deformazione prodotta dal Gene. Brand generici o privi di tratti distintivi producono mutazioni deboli.</w:t>
      </w:r>
    </w:p>
    <w:p>
      <w:pPr>
        <w:pStyle w:val="Heading3"/>
      </w:pPr>
      <w:r>
        <w:rPr>
          <w:rFonts w:ascii="Calibri" w:cs="Calibri" w:eastAsia="Calibri" w:hAnsi="Calibri"/>
        </w:rPr>
        <w:t xml:space="preserve">Test pratico</w:t>
      </w:r>
    </w:p>
    <w:p>
      <w:pPr>
        <w:spacing w:after="160" w:line="340"/>
      </w:pPr>
      <w:r>
        <w:rPr>
          <w:rFonts w:ascii="Georgia" w:cs="Georgia" w:eastAsia="Georgia" w:hAnsi="Georgia"/>
          <w:color w:val="0A0A0A"/>
          <w:sz w:val="22"/>
          <w:szCs w:val="22"/>
        </w:rPr>
        <w:t xml:space="preserve">Se descrivi il brand a qualcuno senza nominarlo e quella persona non riesce a distinguerlo da altri brand della stessa categoria, l’Organismo è troppo debole per il framework.</w:t>
      </w:r>
    </w:p>
    <w:p>
      <w:pPr>
        <w:spacing w:after="160" w:line="340"/>
      </w:pPr>
      <w:r>
        <w:rPr>
          <w:rFonts w:ascii="Georgia" w:cs="Georgia" w:eastAsia="Georgia" w:hAnsi="Georgia"/>
          <w:color w:val="0A0A0A"/>
          <w:sz w:val="22"/>
          <w:szCs w:val="22"/>
        </w:rPr>
        <w:t xml:space="preserve">Il range di progetti possibili (campagne corporate, lanci di prodotto, riposizionamenti, campagne di sensibilizzazione) è sufficientemente ampio da rendere qualsiasi brand a identità forte un Organismo valido, indipendentemente dal settore.</w:t>
      </w:r>
    </w:p>
    <w:p>
      <w:pPr>
        <w:pStyle w:val="Heading2"/>
      </w:pPr>
      <w:r>
        <w:rPr>
          <w:rFonts w:ascii="Calibri" w:cs="Calibri" w:eastAsia="Calibri" w:hAnsi="Calibri"/>
        </w:rPr>
        <w:t xml:space="preserve">2.3 La Mutazione</w:t>
      </w:r>
    </w:p>
    <w:p>
      <w:pPr>
        <w:spacing w:after="160" w:line="340"/>
      </w:pPr>
      <w:r>
        <w:rPr>
          <w:rFonts w:ascii="Georgia" w:cs="Georgia" w:eastAsia="Georgia" w:hAnsi="Georgia"/>
          <w:color w:val="0A0A0A"/>
          <w:sz w:val="22"/>
          <w:szCs w:val="22"/>
        </w:rPr>
        <w:t xml:space="preserve">La Mutazione è l’output progettuale che emerge dall’incontro tra Gene e Organismo. Non è né nel Gene né nell’Organismo — nasce dalla loro interazione e contiene un elemento di imprevedibilità.</w:t>
      </w:r>
    </w:p>
    <w:p>
      <w:pPr>
        <w:pStyle w:val="Heading3"/>
      </w:pPr>
      <w:r>
        <w:rPr>
          <w:rFonts w:ascii="Calibri" w:cs="Calibri" w:eastAsia="Calibri" w:hAnsi="Calibri"/>
        </w:rPr>
        <w:t xml:space="preserve">Criterio di validità</w:t>
      </w:r>
    </w:p>
    <w:p>
      <w:pPr>
        <w:spacing w:after="160" w:line="340"/>
      </w:pPr>
      <w:r>
        <w:rPr>
          <w:rFonts w:ascii="Georgia" w:cs="Georgia" w:eastAsia="Georgia" w:hAnsi="Georgia"/>
          <w:color w:val="0A0A0A"/>
          <w:sz w:val="22"/>
          <w:szCs w:val="22"/>
        </w:rPr>
        <w:t xml:space="preserve">Una Mutazione è riuscita se è riconducibile sia al Gene che all’Organismo, ma non sarebbe esistita senza il loro incontro. Se funziona per qualsiasi brand, il Gene non ha operato. Se funziona per qualsiasi concetto, l’Organismo non è stato rispettato.</w:t>
      </w:r>
    </w:p>
    <w:p>
      <w:pPr>
        <w:pStyle w:val="Heading3"/>
      </w:pPr>
      <w:r>
        <w:rPr>
          <w:rFonts w:ascii="Calibri" w:cs="Calibri" w:eastAsia="Calibri" w:hAnsi="Calibri"/>
        </w:rPr>
        <w:t xml:space="preserve">Test pratico</w:t>
      </w:r>
    </w:p>
    <w:p>
      <w:pPr>
        <w:spacing w:after="160" w:line="340"/>
      </w:pPr>
      <w:r>
        <w:rPr>
          <w:rFonts w:ascii="Georgia" w:cs="Georgia" w:eastAsia="Georgia" w:hAnsi="Georgia"/>
          <w:color w:val="0A0A0A"/>
          <w:sz w:val="22"/>
          <w:szCs w:val="22"/>
        </w:rPr>
        <w:t xml:space="preserve">Rimuovi il Gene dal progetto: se il progetto regge ancora, la mutazione è superficiale. Sostituisci l’Organismo: se il progetto funziona ugualmente, la mutazione è generica.</w:t>
      </w:r>
    </w:p>
    <w:p>
      <w:pPr>
        <w:spacing w:after="160" w:line="340"/>
      </w:pPr>
      <w:r>
        <w:rPr>
          <w:rFonts w:ascii="Georgia" w:cs="Georgia" w:eastAsia="Georgia" w:hAnsi="Georgia"/>
          <w:color w:val="0A0A0A"/>
          <w:sz w:val="22"/>
          <w:szCs w:val="22"/>
        </w:rPr>
        <w:t xml:space="preserve">La Mutazione è l’asse più parametrico del framework e si adatta al contesto d’uso. Alcune configurazioni testate includono: concept + visual + tool digitale (per corsi sulla creazione di contenuti con AI), concept + visual + piano editoriale + esempio di contenuto (per corsi sulla brand communication). Ma il formato può essere qualsiasi output progettuale: un business model canvas, un pitch, un prototipo, un piano strategico.</w:t>
      </w:r>
    </w:p>
    <w:p>
      <w:r>
        <w:br w:type="page"/>
      </w:r>
    </w:p>
    <w:p>
      <w:pPr>
        <w:spacing w:before="360" w:after="80"/>
      </w:pPr>
      <w:r>
        <w:rPr>
          <w:rFonts w:ascii="Calibri" w:cs="Calibri" w:eastAsia="Calibri" w:hAnsi="Calibri"/>
          <w:b/>
          <w:bCs/>
          <w:color w:val="8A8A85"/>
          <w:spacing w:val="120"/>
          <w:sz w:val="16"/>
          <w:szCs w:val="16"/>
        </w:rPr>
        <w:t xml:space="preserve">CAPITOLO 3</w:t>
      </w:r>
    </w:p>
    <w:p>
      <w:pPr>
        <w:pStyle w:val="Heading1"/>
      </w:pPr>
      <w:r>
        <w:rPr>
          <w:rFonts w:ascii="Calibri" w:cs="Calibri" w:eastAsia="Calibri" w:hAnsi="Calibri"/>
        </w:rPr>
        <w:t xml:space="preserve">Come funziona: regole e vincoli</w:t>
      </w:r>
    </w:p>
    <w:p>
      <w:pPr>
        <w:pStyle w:val="Heading2"/>
      </w:pPr>
      <w:r>
        <w:rPr>
          <w:rFonts w:ascii="Calibri" w:cs="Calibri" w:eastAsia="Calibri" w:hAnsi="Calibri"/>
        </w:rPr>
        <w:t xml:space="preserve">3.1 Regole operative</w:t>
      </w:r>
    </w:p>
    <w:p>
      <w:pPr>
        <w:spacing w:after="160" w:line="340"/>
      </w:pPr>
      <w:r>
        <w:rPr>
          <w:rFonts w:ascii="Georgia" w:cs="Georgia" w:eastAsia="Georgia" w:hAnsi="Georgia"/>
          <w:b/>
          <w:bCs/>
          <w:sz w:val="22"/>
          <w:szCs w:val="22"/>
        </w:rPr>
        <w:t xml:space="preserve">Regola 1: </w:t>
      </w:r>
      <w:r>
        <w:rPr>
          <w:rFonts w:ascii="Georgia" w:cs="Georgia" w:eastAsia="Georgia" w:hAnsi="Georgia"/>
          <w:sz w:val="22"/>
          <w:szCs w:val="22"/>
        </w:rPr>
        <w:t xml:space="preserve">I Geni vengono proposti dal facilitatore (docente, strategist, moderatore). I partecipanti scelgono, non creano il Gene. Questo garantisce che il livello di astrazione sia adeguato e che i concetti contengano effettivamente un meccanismo di trasformazione.</w:t>
      </w:r>
    </w:p>
    <w:p>
      <w:pPr>
        <w:spacing w:after="160" w:line="340"/>
      </w:pPr>
      <w:r>
        <w:rPr>
          <w:rFonts w:ascii="Georgia" w:cs="Georgia" w:eastAsia="Georgia" w:hAnsi="Georgia"/>
          <w:b/>
          <w:bCs/>
          <w:sz w:val="22"/>
          <w:szCs w:val="22"/>
        </w:rPr>
        <w:t xml:space="preserve">Regola 2: </w:t>
      </w:r>
      <w:r>
        <w:rPr>
          <w:rFonts w:ascii="Georgia" w:cs="Georgia" w:eastAsia="Georgia" w:hAnsi="Georgia"/>
          <w:sz w:val="22"/>
          <w:szCs w:val="22"/>
        </w:rPr>
        <w:t xml:space="preserve">Gli Organismi possono essere proposti dal facilitatore o scelti dai partecipanti, a seconda del livello di difficoltà desiderato. Brand proposti dal facilitatore garantiscono identità forti; brand scelti dai partecipanti aggiungono una dimensione esplorativa.</w:t>
      </w:r>
    </w:p>
    <w:p>
      <w:pPr>
        <w:spacing w:after="160" w:line="340"/>
      </w:pPr>
      <w:r>
        <w:rPr>
          <w:rFonts w:ascii="Georgia" w:cs="Georgia" w:eastAsia="Georgia" w:hAnsi="Georgia"/>
          <w:b/>
          <w:bCs/>
          <w:sz w:val="22"/>
          <w:szCs w:val="22"/>
        </w:rPr>
        <w:t xml:space="preserve">Regola 3: </w:t>
      </w:r>
      <w:r>
        <w:rPr>
          <w:rFonts w:ascii="Georgia" w:cs="Georgia" w:eastAsia="Georgia" w:hAnsi="Georgia"/>
          <w:sz w:val="22"/>
          <w:szCs w:val="22"/>
        </w:rPr>
        <w:t xml:space="preserve">La Mutazione è interamente a carico dei partecipanti. Il framework non fornisce risposte — crea le condizioni perché le risposte emergano.</w:t>
      </w:r>
    </w:p>
    <w:p>
      <w:pPr>
        <w:spacing w:after="160" w:line="340"/>
      </w:pPr>
      <w:r>
        <w:rPr>
          <w:rFonts w:ascii="Georgia" w:cs="Georgia" w:eastAsia="Georgia" w:hAnsi="Georgia"/>
          <w:b/>
          <w:bCs/>
          <w:sz w:val="22"/>
          <w:szCs w:val="22"/>
        </w:rPr>
        <w:t xml:space="preserve">Regola 4: </w:t>
      </w:r>
      <w:r>
        <w:rPr>
          <w:rFonts w:ascii="Georgia" w:cs="Georgia" w:eastAsia="Georgia" w:hAnsi="Georgia"/>
          <w:sz w:val="22"/>
          <w:szCs w:val="22"/>
        </w:rPr>
        <w:t xml:space="preserve">In contesti dove l’AI è disponibile, può essere usata come strumento di esecuzione della Mutazione, mai come fonte del pensiero strategico. Il concetto creativo deve nascere dal ragionamento umano.</w:t>
      </w:r>
    </w:p>
    <w:p>
      <w:pPr>
        <w:spacing w:after="160" w:line="340"/>
      </w:pPr>
      <w:r>
        <w:rPr>
          <w:rFonts w:ascii="Georgia" w:cs="Georgia" w:eastAsia="Georgia" w:hAnsi="Georgia"/>
          <w:b/>
          <w:bCs/>
          <w:sz w:val="22"/>
          <w:szCs w:val="22"/>
        </w:rPr>
        <w:t xml:space="preserve">Regola 5: </w:t>
      </w:r>
      <w:r>
        <w:rPr>
          <w:rFonts w:ascii="Georgia" w:cs="Georgia" w:eastAsia="Georgia" w:hAnsi="Georgia"/>
          <w:sz w:val="22"/>
          <w:szCs w:val="22"/>
        </w:rPr>
        <w:t xml:space="preserve">Il tempo è un vincolo deliberato. Il framework funziona sotto pressione temporale perché forza decisioni rapide e impedisce l’overthinking. Sessioni tra 90 minuti e 3 ore si sono dimostrate ottimali.</w:t>
      </w:r>
    </w:p>
    <w:p>
      <w:pPr>
        <w:pStyle w:val="Heading2"/>
      </w:pPr>
      <w:r>
        <w:rPr>
          <w:rFonts w:ascii="Calibri" w:cs="Calibri" w:eastAsia="Calibri" w:hAnsi="Calibri"/>
        </w:rPr>
        <w:t xml:space="preserve">3.2 Vincoli strutturali</w:t>
      </w:r>
    </w:p>
    <w:p>
      <w:pPr>
        <w:spacing w:after="160" w:line="340"/>
      </w:pPr>
      <w:r>
        <w:rPr>
          <w:rFonts w:ascii="Georgia" w:cs="Georgia" w:eastAsia="Georgia" w:hAnsi="Georgia"/>
          <w:b/>
          <w:bCs/>
          <w:sz w:val="22"/>
          <w:szCs w:val="22"/>
        </w:rPr>
        <w:t xml:space="preserve">Tensione creativa: </w:t>
      </w:r>
      <w:r>
        <w:rPr>
          <w:rFonts w:ascii="Georgia" w:cs="Georgia" w:eastAsia="Georgia" w:hAnsi="Georgia"/>
          <w:sz w:val="22"/>
          <w:szCs w:val="22"/>
        </w:rPr>
        <w:t xml:space="preserve">Il Gene non deve essere naturalmente presente nel DNA dell’Organismo. Se l’accostamento è troppo ovvio (es. “ricorsività” + Spotify, che è già basato su loop algoritmici), la mutazione perde tensione creativa. La distanza tra Gene e Organismo è il motore dell’innovazione.</w:t>
      </w:r>
    </w:p>
    <w:p>
      <w:pPr>
        <w:spacing w:after="160" w:line="340"/>
      </w:pPr>
      <w:r>
        <w:rPr>
          <w:rFonts w:ascii="Georgia" w:cs="Georgia" w:eastAsia="Georgia" w:hAnsi="Georgia"/>
          <w:b/>
          <w:bCs/>
          <w:sz w:val="22"/>
          <w:szCs w:val="22"/>
        </w:rPr>
        <w:t xml:space="preserve">Specificità: </w:t>
      </w:r>
      <w:r>
        <w:rPr>
          <w:rFonts w:ascii="Georgia" w:cs="Georgia" w:eastAsia="Georgia" w:hAnsi="Georgia"/>
          <w:sz w:val="22"/>
          <w:szCs w:val="22"/>
        </w:rPr>
        <w:t xml:space="preserve">“Se funziona per qualsiasi brand, non funziona per nessuno” è il principio cardine. Ogni Mutazione deve essere inseparabile dal suo Organismo.</w:t>
      </w:r>
    </w:p>
    <w:p>
      <w:pPr>
        <w:spacing w:after="160" w:line="340"/>
      </w:pPr>
      <w:r>
        <w:rPr>
          <w:rFonts w:ascii="Georgia" w:cs="Georgia" w:eastAsia="Georgia" w:hAnsi="Georgia"/>
          <w:b/>
          <w:bCs/>
          <w:sz w:val="22"/>
          <w:szCs w:val="22"/>
        </w:rPr>
        <w:t xml:space="preserve">Emergenza, non prescrizione: </w:t>
      </w:r>
      <w:r>
        <w:rPr>
          <w:rFonts w:ascii="Georgia" w:cs="Georgia" w:eastAsia="Georgia" w:hAnsi="Georgia"/>
          <w:sz w:val="22"/>
          <w:szCs w:val="22"/>
        </w:rPr>
        <w:t xml:space="preserve">Il framework non genera idee — genera le condizioni perché le idee emergano. La differenza è fondamentale: un generatore di idee produce output; un generatore di condizioni produce pensiero.</w:t>
      </w:r>
    </w:p>
    <w:p>
      <w:r>
        <w:br w:type="page"/>
      </w:r>
    </w:p>
    <w:p>
      <w:pPr>
        <w:spacing w:before="360" w:after="80"/>
      </w:pPr>
      <w:r>
        <w:rPr>
          <w:rFonts w:ascii="Calibri" w:cs="Calibri" w:eastAsia="Calibri" w:hAnsi="Calibri"/>
          <w:b/>
          <w:bCs/>
          <w:color w:val="8A8A85"/>
          <w:spacing w:val="120"/>
          <w:sz w:val="16"/>
          <w:szCs w:val="16"/>
        </w:rPr>
        <w:t xml:space="preserve">CAPITOLO 4</w:t>
      </w:r>
    </w:p>
    <w:p>
      <w:pPr>
        <w:pStyle w:val="Heading1"/>
      </w:pPr>
      <w:r>
        <w:rPr>
          <w:rFonts w:ascii="Calibri" w:cs="Calibri" w:eastAsia="Calibri" w:hAnsi="Calibri"/>
        </w:rPr>
        <w:t xml:space="preserve">Esempio applicativo: Liminalità × Red Bull</w:t>
      </w:r>
    </w:p>
    <w:p>
      <w:pPr>
        <w:spacing w:after="160" w:line="340"/>
      </w:pPr>
      <w:r>
        <w:rPr>
          <w:rFonts w:ascii="Georgia" w:cs="Georgia" w:eastAsia="Georgia" w:hAnsi="Georgia"/>
          <w:color w:val="0A0A0A"/>
          <w:sz w:val="22"/>
          <w:szCs w:val="22"/>
        </w:rPr>
        <w:t xml:space="preserve">Per illustrare il funzionamento del framework, presentiamo un esempio completo sviluppato come modello dimostrativo.</w:t>
      </w:r>
    </w:p>
    <w:p>
      <w:pPr>
        <w:spacing w:after="160" w:line="340"/>
      </w:pPr>
      <w:r>
        <w:rPr>
          <w:rFonts w:ascii="Georgia" w:cs="Georgia" w:eastAsia="Georgia" w:hAnsi="Georgia"/>
          <w:b/>
          <w:bCs/>
          <w:color w:val="0A0A0A"/>
          <w:sz w:val="22"/>
          <w:szCs w:val="22"/>
        </w:rPr>
        <w:t xml:space="preserve">Gene: </w:t>
      </w:r>
      <w:r>
        <w:rPr>
          <w:rFonts w:ascii="Georgia" w:cs="Georgia" w:eastAsia="Georgia" w:hAnsi="Georgia"/>
          <w:color w:val="0A0A0A"/>
          <w:sz w:val="22"/>
          <w:szCs w:val="22"/>
        </w:rPr>
        <w:t xml:space="preserve">Liminalità — lo spazio tra un prima e un dopo, la soglia dove tutto è possibile.</w:t>
      </w:r>
    </w:p>
    <w:p>
      <w:pPr>
        <w:spacing w:after="160" w:line="340"/>
      </w:pPr>
      <w:r>
        <w:rPr>
          <w:rFonts w:ascii="Georgia" w:cs="Georgia" w:eastAsia="Georgia" w:hAnsi="Georgia"/>
          <w:b/>
          <w:bCs/>
          <w:color w:val="0A0A0A"/>
          <w:sz w:val="22"/>
          <w:szCs w:val="22"/>
        </w:rPr>
        <w:t xml:space="preserve">Organismo: </w:t>
      </w:r>
      <w:r>
        <w:rPr>
          <w:rFonts w:ascii="Georgia" w:cs="Georgia" w:eastAsia="Georgia" w:hAnsi="Georgia"/>
          <w:color w:val="0A0A0A"/>
          <w:sz w:val="22"/>
          <w:szCs w:val="22"/>
        </w:rPr>
        <w:t xml:space="preserve">Red Bull</w:t>
      </w:r>
    </w:p>
    <w:p>
      <w:pPr>
        <w:spacing w:after="160" w:line="340"/>
      </w:pPr>
      <w:r>
        <w:rPr>
          <w:rFonts w:ascii="Georgia" w:cs="Georgia" w:eastAsia="Georgia" w:hAnsi="Georgia"/>
          <w:b/>
          <w:bCs/>
          <w:color w:val="0A0A0A"/>
          <w:sz w:val="22"/>
          <w:szCs w:val="22"/>
        </w:rPr>
        <w:t xml:space="preserve">Mutazione: </w:t>
      </w:r>
      <w:r>
        <w:rPr>
          <w:rFonts w:ascii="Georgia" w:cs="Georgia" w:eastAsia="Georgia" w:hAnsi="Georgia"/>
          <w:color w:val="0A0A0A"/>
          <w:sz w:val="22"/>
          <w:szCs w:val="22"/>
        </w:rPr>
        <w:t xml:space="preserve">Copy + Visual + Tool digitale</w:t>
      </w:r>
    </w:p>
    <w:p>
      <w:pPr>
        <w:pStyle w:val="Heading2"/>
      </w:pPr>
      <w:r>
        <w:rPr>
          <w:rFonts w:ascii="Calibri" w:cs="Calibri" w:eastAsia="Calibri" w:hAnsi="Calibri"/>
        </w:rPr>
        <w:t xml:space="preserve">4.1 Il Copy</w:t>
      </w:r>
    </w:p>
    <w:p>
      <w:pPr>
        <w:spacing w:after="160" w:line="340"/>
      </w:pPr>
      <w:r>
        <w:rPr>
          <w:rFonts w:ascii="Georgia" w:cs="Georgia" w:eastAsia="Georgia" w:hAnsi="Georgia"/>
          <w:i/>
          <w:iCs/>
          <w:color w:val="5A5A55"/>
          <w:sz w:val="22"/>
          <w:szCs w:val="22"/>
        </w:rPr>
        <w:t xml:space="preserve">“L’istante prima del salto.”</w:t>
      </w:r>
    </w:p>
    <w:p>
      <w:pPr>
        <w:spacing w:after="160" w:line="340"/>
      </w:pPr>
      <w:r>
        <w:rPr>
          <w:rFonts w:ascii="Georgia" w:cs="Georgia" w:eastAsia="Georgia" w:hAnsi="Georgia"/>
          <w:color w:val="0A0A0A"/>
          <w:sz w:val="22"/>
          <w:szCs w:val="22"/>
        </w:rPr>
        <w:t xml:space="preserve">Red Bull vive nello spazio liminale per eccellenza: il momento tra la decisione e l’azione. Non sei più fermo, non sei ancora in volo. Sei sulla soglia. Quello spazio — un secondo, un respiro, un battito — è dove Red Bull esiste davvero. Non è la bevanda energetica. È la soglia tra chi eri e chi stai per diventare.</w:t>
      </w:r>
    </w:p>
    <w:p>
      <w:pPr>
        <w:pStyle w:val="Heading2"/>
      </w:pPr>
      <w:r>
        <w:rPr>
          <w:rFonts w:ascii="Calibri" w:cs="Calibri" w:eastAsia="Calibri" w:hAnsi="Calibri"/>
        </w:rPr>
        <w:t xml:space="preserve">4.2 Il Visual</w:t>
      </w:r>
    </w:p>
    <w:p>
      <w:pPr>
        <w:spacing w:after="160" w:line="340"/>
      </w:pPr>
      <w:r>
        <w:rPr>
          <w:rFonts w:ascii="Georgia" w:cs="Georgia" w:eastAsia="Georgia" w:hAnsi="Georgia"/>
          <w:color w:val="0A0A0A"/>
          <w:sz w:val="22"/>
          <w:szCs w:val="22"/>
        </w:rPr>
        <w:t xml:space="preserve">Un’immagine divisa a metà: sotto, il terreno solido; sopra, il cielo aperto. Nel mezzo, una figura sospesa — né a terra né in volo. Il claim: “Non sei ancora in volo. Ma non sei più a terra. Red Bull. L’istante prima del salto.”</w:t>
      </w:r>
    </w:p>
    <w:p>
      <w:pPr>
        <w:pStyle w:val="Heading2"/>
      </w:pPr>
      <w:r>
        <w:rPr>
          <w:rFonts w:ascii="Calibri" w:cs="Calibri" w:eastAsia="Calibri" w:hAnsi="Calibri"/>
        </w:rPr>
        <w:t xml:space="preserve">4.3 Il Tool: The Threshold</w:t>
      </w:r>
    </w:p>
    <w:p>
      <w:pPr>
        <w:spacing w:after="160" w:line="340"/>
      </w:pPr>
      <w:r>
        <w:rPr>
          <w:rFonts w:ascii="Georgia" w:cs="Georgia" w:eastAsia="Georgia" w:hAnsi="Georgia"/>
          <w:color w:val="0A0A0A"/>
          <w:sz w:val="22"/>
          <w:szCs w:val="22"/>
        </w:rPr>
        <w:t xml:space="preserve">Un’esperienza web che fa vivere la liminalità. L’utente sceglie una decisione che sta rimandando. Si attiva un timer visuale: il terreno si dissolve sotto i piedi. Il tempo è incerto: non sai quando finirà. Sei nella soglia. Quando il timer scade: “L’istante è passato. Hai saltato o sei rimasto?”</w:t>
      </w:r>
    </w:p>
    <w:p>
      <w:pPr>
        <w:spacing w:after="160" w:line="340"/>
      </w:pPr>
      <w:r>
        <w:rPr>
          <w:rFonts w:ascii="Georgia" w:cs="Georgia" w:eastAsia="Georgia" w:hAnsi="Georgia"/>
          <w:color w:val="0A0A0A"/>
          <w:sz w:val="22"/>
          <w:szCs w:val="22"/>
        </w:rPr>
        <w:t xml:space="preserve">Il tool stesso è uno spazio liminale: l’utente è dentro un’attesa senza fine nota, sospeso tra azione e inazione. L’interfaccia fa sentire la soglia, non la descrive.</w:t>
      </w:r>
    </w:p>
    <w:p>
      <w:pPr>
        <w:pStyle w:val="Heading2"/>
      </w:pPr>
      <w:r>
        <w:rPr>
          <w:rFonts w:ascii="Calibri" w:cs="Calibri" w:eastAsia="Calibri" w:hAnsi="Calibri"/>
        </w:rPr>
        <w:t xml:space="preserve">4.4 Perché funziona</w:t>
      </w:r>
    </w:p>
    <w:p>
      <w:pPr>
        <w:spacing w:after="160" w:line="340"/>
      </w:pPr>
      <w:r>
        <w:rPr>
          <w:rFonts w:ascii="Georgia" w:cs="Georgia" w:eastAsia="Georgia" w:hAnsi="Georgia"/>
          <w:color w:val="0A0A0A"/>
          <w:sz w:val="22"/>
          <w:szCs w:val="22"/>
        </w:rPr>
        <w:t xml:space="preserve">La liminalità non descrive Red Bull — la deforma. Red Bull non si è mai posizionata come “il momento prima dell’azione”, ma come l’azione stessa. Il Gene costringe a guardare il brand da un’angolazione inedita: non il salto, ma la soglia. Questo produce un concept che è inseparabile dal brand (nessun altro vive quel momento con la stessa intensità) ma che non sarebbe mai nato da un brief tradizionale.</w:t>
      </w:r>
    </w:p>
    <w:p>
      <w:r>
        <w:br w:type="page"/>
      </w:r>
    </w:p>
    <w:p>
      <w:pPr>
        <w:spacing w:before="360" w:after="80"/>
      </w:pPr>
      <w:r>
        <w:rPr>
          <w:rFonts w:ascii="Calibri" w:cs="Calibri" w:eastAsia="Calibri" w:hAnsi="Calibri"/>
          <w:b/>
          <w:bCs/>
          <w:color w:val="8A8A85"/>
          <w:spacing w:val="120"/>
          <w:sz w:val="16"/>
          <w:szCs w:val="16"/>
        </w:rPr>
        <w:t xml:space="preserve">CAPITOLO 5</w:t>
      </w:r>
    </w:p>
    <w:p>
      <w:pPr>
        <w:pStyle w:val="Heading1"/>
      </w:pPr>
      <w:r>
        <w:rPr>
          <w:rFonts w:ascii="Calibri" w:cs="Calibri" w:eastAsia="Calibri" w:hAnsi="Calibri"/>
        </w:rPr>
        <w:t xml:space="preserve">Contesti d’uso e applicabilità</w:t>
      </w:r>
    </w:p>
    <w:p>
      <w:pPr>
        <w:spacing w:after="160" w:line="340"/>
      </w:pPr>
      <w:r>
        <w:rPr>
          <w:rFonts w:ascii="Georgia" w:cs="Georgia" w:eastAsia="Georgia" w:hAnsi="Georgia"/>
          <w:color w:val="0A0A0A"/>
          <w:sz w:val="22"/>
          <w:szCs w:val="22"/>
        </w:rPr>
        <w:t xml:space="preserve">Il framework è stato concepito e testato in contesto didattico universitario, dove è stato utilizzato per generare brief creativi in sessioni intensive. Tuttavia, la sua struttura modulare lo rende trasferibile a molteplici contesti.</w:t>
      </w:r>
    </w:p>
    <w:p>
      <w:pPr>
        <w:pStyle w:val="Heading2"/>
      </w:pPr>
      <w:r>
        <w:rPr>
          <w:rFonts w:ascii="Calibri" w:cs="Calibri" w:eastAsia="Calibri" w:hAnsi="Calibri"/>
        </w:rPr>
        <w:t xml:space="preserve">5.1 Didattica e formazione</w:t>
      </w:r>
    </w:p>
    <w:p>
      <w:pPr>
        <w:spacing w:after="160" w:line="340"/>
      </w:pPr>
      <w:r>
        <w:rPr>
          <w:rFonts w:ascii="Georgia" w:cs="Georgia" w:eastAsia="Georgia" w:hAnsi="Georgia"/>
          <w:color w:val="0A0A0A"/>
          <w:sz w:val="22"/>
          <w:szCs w:val="22"/>
        </w:rPr>
        <w:t xml:space="preserve">Nel contesto didattico, G×O→M funziona come esercizio strutturato. Il docente seleziona una famiglia di Geni, propone una lista di Organismi e definisce il formato della Mutazione. Gli studenti, divisi in gruppi, scelgono la combinazione e producono l’output in un tempo definito. Il framework è stato testato con sessioni che variano da 90 minuti a 3 ore, con risultati consistenti.</w:t>
      </w:r>
    </w:p>
    <w:p>
      <w:pPr>
        <w:pStyle w:val="Heading2"/>
      </w:pPr>
      <w:r>
        <w:rPr>
          <w:rFonts w:ascii="Calibri" w:cs="Calibri" w:eastAsia="Calibri" w:hAnsi="Calibri"/>
        </w:rPr>
        <w:t xml:space="preserve">5.2 Brainstorming strategico</w:t>
      </w:r>
    </w:p>
    <w:p>
      <w:pPr>
        <w:spacing w:after="160" w:line="340"/>
      </w:pPr>
      <w:r>
        <w:rPr>
          <w:rFonts w:ascii="Georgia" w:cs="Georgia" w:eastAsia="Georgia" w:hAnsi="Georgia"/>
          <w:color w:val="0A0A0A"/>
          <w:sz w:val="22"/>
          <w:szCs w:val="22"/>
        </w:rPr>
        <w:t xml:space="preserve">In ambito aziendale, il framework può essere utilizzato per rompere gli schemi di pensiero durante sessioni di brainstorming. L’Organismo diventa il brand su cui si sta effettivamente lavorando, e i Geni fungono da stimoli laterali per esplorare posizionamenti, campagne o prodotti che non sarebbero emersi da un processo lineare.</w:t>
      </w:r>
    </w:p>
    <w:p>
      <w:pPr>
        <w:pStyle w:val="Heading2"/>
      </w:pPr>
      <w:r>
        <w:rPr>
          <w:rFonts w:ascii="Calibri" w:cs="Calibri" w:eastAsia="Calibri" w:hAnsi="Calibri"/>
        </w:rPr>
        <w:t xml:space="preserve">5.3 Workshop creativi</w:t>
      </w:r>
    </w:p>
    <w:p>
      <w:pPr>
        <w:spacing w:after="160" w:line="340"/>
      </w:pPr>
      <w:r>
        <w:rPr>
          <w:rFonts w:ascii="Georgia" w:cs="Georgia" w:eastAsia="Georgia" w:hAnsi="Georgia"/>
          <w:color w:val="0A0A0A"/>
          <w:sz w:val="22"/>
          <w:szCs w:val="22"/>
        </w:rPr>
        <w:t xml:space="preserve">Per agenzie e studi creativi, G×O→M offre una struttura ripetibile per workshop con clienti o team interni. La natura combinatoria del framework garantisce che ogni sessione produca risultati diversi, anche con gli stessi partecipanti.</w:t>
      </w:r>
    </w:p>
    <w:p>
      <w:pPr>
        <w:pStyle w:val="Heading2"/>
      </w:pPr>
      <w:r>
        <w:rPr>
          <w:rFonts w:ascii="Calibri" w:cs="Calibri" w:eastAsia="Calibri" w:hAnsi="Calibri"/>
        </w:rPr>
        <w:t xml:space="preserve">5.4 Estensioni possibili</w:t>
      </w:r>
    </w:p>
    <w:p>
      <w:pPr>
        <w:spacing w:after="160" w:line="340"/>
      </w:pPr>
      <w:r>
        <w:rPr>
          <w:rFonts w:ascii="Georgia" w:cs="Georgia" w:eastAsia="Georgia" w:hAnsi="Georgia"/>
          <w:color w:val="0A0A0A"/>
          <w:sz w:val="22"/>
          <w:szCs w:val="22"/>
        </w:rPr>
        <w:t xml:space="preserve">Sebbene questo paper si concentri sull’applicazione nel campo della comunicazione e del brand, la struttura Lente × Terreno → Formato è generalizzabile. Un corso di strategia aziendale potrebbe usare Geni come “antifragilità, inerzia, asimmetria” su Organismi come settori industriali. Un corso di product design potrebbe usare “attrito, latenza, ridondanza” su categorie di prodotto. La meccanica resta identica.</w:t>
      </w:r>
    </w:p>
    <w:p>
      <w:r>
        <w:br w:type="page"/>
      </w:r>
    </w:p>
    <w:p>
      <w:pPr>
        <w:spacing w:before="360" w:after="80"/>
      </w:pPr>
      <w:r>
        <w:rPr>
          <w:rFonts w:ascii="Calibri" w:cs="Calibri" w:eastAsia="Calibri" w:hAnsi="Calibri"/>
          <w:b/>
          <w:bCs/>
          <w:color w:val="8A8A85"/>
          <w:spacing w:val="120"/>
          <w:sz w:val="16"/>
          <w:szCs w:val="16"/>
        </w:rPr>
        <w:t xml:space="preserve">CAPITOLO 6</w:t>
      </w:r>
    </w:p>
    <w:p>
      <w:pPr>
        <w:pStyle w:val="Heading1"/>
      </w:pPr>
      <w:r>
        <w:rPr>
          <w:rFonts w:ascii="Calibri" w:cs="Calibri" w:eastAsia="Calibri" w:hAnsi="Calibri"/>
        </w:rPr>
        <w:t xml:space="preserve">Fondamenti e precedenti teorici</w:t>
      </w:r>
    </w:p>
    <w:p>
      <w:pPr>
        <w:spacing w:after="160" w:line="340"/>
      </w:pPr>
      <w:r>
        <w:rPr>
          <w:rFonts w:ascii="Georgia" w:cs="Georgia" w:eastAsia="Georgia" w:hAnsi="Georgia"/>
          <w:color w:val="0A0A0A"/>
          <w:sz w:val="22"/>
          <w:szCs w:val="22"/>
        </w:rPr>
        <w:t xml:space="preserve">G×O→M non nasce dal nulla. Si inserisce in una tradizione di strumenti per la creatività vincolata, pur differenziandosi per struttura e ambizione.</w:t>
      </w:r>
    </w:p>
    <w:p>
      <w:pPr>
        <w:spacing w:after="160" w:line="340"/>
      </w:pPr>
      <w:r>
        <w:rPr>
          <w:rFonts w:ascii="Georgia" w:cs="Georgia" w:eastAsia="Georgia" w:hAnsi="Georgia"/>
          <w:b/>
          <w:bCs/>
          <w:sz w:val="22"/>
          <w:szCs w:val="22"/>
        </w:rPr>
        <w:t xml:space="preserve">Oblique Strategies (Brian Eno, Peter Schmidt, 1975): </w:t>
      </w:r>
      <w:r>
        <w:rPr>
          <w:rFonts w:ascii="Georgia" w:cs="Georgia" w:eastAsia="Georgia" w:hAnsi="Georgia"/>
          <w:sz w:val="22"/>
          <w:szCs w:val="22"/>
        </w:rPr>
        <w:t xml:space="preserve">carte con istruzioni ambigue per sbloccare processi creativi. Operano su un singolo asse (lo stimolo laterale) senza vincoli di applicazione. G×O→M aggiunge la dimensione del soggetto concreto e del formato.</w:t>
      </w:r>
    </w:p>
    <w:p>
      <w:pPr>
        <w:spacing w:after="160" w:line="340"/>
      </w:pPr>
      <w:r>
        <w:rPr>
          <w:rFonts w:ascii="Georgia" w:cs="Georgia" w:eastAsia="Georgia" w:hAnsi="Georgia"/>
          <w:b/>
          <w:bCs/>
          <w:sz w:val="22"/>
          <w:szCs w:val="22"/>
        </w:rPr>
        <w:t xml:space="preserve">SCAMPER (Bob Eberle, 1971): </w:t>
      </w:r>
      <w:r>
        <w:rPr>
          <w:rFonts w:ascii="Georgia" w:cs="Georgia" w:eastAsia="Georgia" w:hAnsi="Georgia"/>
          <w:sz w:val="22"/>
          <w:szCs w:val="22"/>
        </w:rPr>
        <w:t xml:space="preserve">framework per l’innovazione basato su sette operazioni (Substitute, Combine, Adapt, Modify, Put to other use, Eliminate, Reverse). Opera su un singolo asse con operazioni predefinite. G×O→M è più aperto: i Geni non prescrivono un’operazione, ma una lente interpretativa.</w:t>
      </w:r>
    </w:p>
    <w:p>
      <w:pPr>
        <w:spacing w:after="160" w:line="340"/>
      </w:pPr>
      <w:r>
        <w:rPr>
          <w:rFonts w:ascii="Georgia" w:cs="Georgia" w:eastAsia="Georgia" w:hAnsi="Georgia"/>
          <w:b/>
          <w:bCs/>
          <w:sz w:val="22"/>
          <w:szCs w:val="22"/>
        </w:rPr>
        <w:t xml:space="preserve">Synectics (William Gordon, 1961): </w:t>
      </w:r>
      <w:r>
        <w:rPr>
          <w:rFonts w:ascii="Georgia" w:cs="Georgia" w:eastAsia="Georgia" w:hAnsi="Georgia"/>
          <w:sz w:val="22"/>
          <w:szCs w:val="22"/>
        </w:rPr>
        <w:t xml:space="preserve">metodologia che usa l’analogia forzata tra mondi distanti per generare innovazione. È il precedente più vicino a G×O→M nello spirito, ma non è strutturato come framework ripetibile con componenti modulari.</w:t>
      </w:r>
    </w:p>
    <w:p>
      <w:pPr>
        <w:spacing w:after="160" w:line="340"/>
      </w:pPr>
      <w:r>
        <w:rPr>
          <w:rFonts w:ascii="Georgia" w:cs="Georgia" w:eastAsia="Georgia" w:hAnsi="Georgia"/>
          <w:b/>
          <w:bCs/>
          <w:sz w:val="22"/>
          <w:szCs w:val="22"/>
        </w:rPr>
        <w:t xml:space="preserve">Design brief combinatori: </w:t>
      </w:r>
      <w:r>
        <w:rPr>
          <w:rFonts w:ascii="Georgia" w:cs="Georgia" w:eastAsia="Georgia" w:hAnsi="Georgia"/>
          <w:sz w:val="22"/>
          <w:szCs w:val="22"/>
        </w:rPr>
        <w:t xml:space="preserve">alcune scuole di design utilizzano matrici a due dimensioni (es. “materiale × emozione”) per generare brief. G×O→M si differenzia per la natura dei Geni, che non sono attributi ma meccanismi di trasformazione, e per l’aggiunta del terzo asse (la Mutazione).</w:t>
      </w:r>
    </w:p>
    <w:p>
      <w:pPr>
        <w:spacing w:after="160" w:line="340"/>
      </w:pPr>
      <w:r>
        <w:rPr>
          <w:rFonts w:ascii="Georgia" w:cs="Georgia" w:eastAsia="Georgia" w:hAnsi="Georgia"/>
          <w:color w:val="0A0A0A"/>
          <w:sz w:val="22"/>
          <w:szCs w:val="22"/>
        </w:rPr>
        <w:t xml:space="preserve">Il contributo originale di G×O→M è la combinazione di tre elementi: Geni che sono dispositivi generativi (non istruzioni né attributi), una struttura a tre assi modulari e indipendentemente parametrizzabili, e un criterio di validità integrato (“se funziona per qualsiasi brand, non funziona per nessuno”) che forza la specificità dell’output.</w:t>
      </w:r>
    </w:p>
    <w:p>
      <w:r>
        <w:br w:type="page"/>
      </w:r>
    </w:p>
    <w:p>
      <w:pPr>
        <w:spacing w:before="360" w:after="80"/>
      </w:pPr>
      <w:r>
        <w:rPr>
          <w:rFonts w:ascii="Calibri" w:cs="Calibri" w:eastAsia="Calibri" w:hAnsi="Calibri"/>
          <w:b/>
          <w:bCs/>
          <w:color w:val="8A8A85"/>
          <w:spacing w:val="120"/>
          <w:sz w:val="16"/>
          <w:szCs w:val="16"/>
        </w:rPr>
        <w:t xml:space="preserve">CONCLUSIONI</w:t>
      </w:r>
    </w:p>
    <w:p>
      <w:pPr>
        <w:pStyle w:val="Heading1"/>
      </w:pPr>
      <w:r>
        <w:rPr>
          <w:rFonts w:ascii="Calibri" w:cs="Calibri" w:eastAsia="Calibri" w:hAnsi="Calibri"/>
        </w:rPr>
        <w:t xml:space="preserve">Verso una pratica della creatività vincolata</w:t>
      </w:r>
    </w:p>
    <w:p>
      <w:pPr>
        <w:spacing w:after="160" w:line="340"/>
      </w:pPr>
      <w:r>
        <w:rPr>
          <w:rFonts w:ascii="Georgia" w:cs="Georgia" w:eastAsia="Georgia" w:hAnsi="Georgia"/>
          <w:color w:val="0A0A0A"/>
          <w:sz w:val="22"/>
          <w:szCs w:val="22"/>
        </w:rPr>
        <w:t xml:space="preserve">G×O→M parte da una convinzione: la creatività più interessante non emerge dalla libertà totale, ma dal vincolo intelligente. Quando chiedi a qualcuno “pensa a qualcosa di creativo”, il risultato è quasi sempre generico. Quando chiedi “guarda Red Bull attraverso il paradosso”, il risultato è quasi sempre sorprendente.</w:t>
      </w:r>
    </w:p>
    <w:p>
      <w:pPr>
        <w:spacing w:after="160" w:line="340"/>
      </w:pPr>
      <w:r>
        <w:rPr>
          <w:rFonts w:ascii="Georgia" w:cs="Georgia" w:eastAsia="Georgia" w:hAnsi="Georgia"/>
          <w:color w:val="0A0A0A"/>
          <w:sz w:val="22"/>
          <w:szCs w:val="22"/>
        </w:rPr>
        <w:t xml:space="preserve">Il framework non pretende di essere l’unico strumento per la generazione creativa, ma propone un approccio sistematico e ripetibile che mancava nel panorama degli strumenti disponibili. La sua forza sta nella modularità: cambiando i Geni, gli Organismi o i formati di Mutazione, si ottiene un framework sempre nuovo che mantiene la stessa meccanica generativa.</w:t>
      </w:r>
    </w:p>
    <w:p>
      <w:pPr>
        <w:spacing w:after="160" w:line="340"/>
      </w:pPr>
      <w:r>
        <w:rPr>
          <w:rFonts w:ascii="Georgia" w:cs="Georgia" w:eastAsia="Georgia" w:hAnsi="Georgia"/>
          <w:color w:val="0A0A0A"/>
          <w:sz w:val="22"/>
          <w:szCs w:val="22"/>
        </w:rPr>
        <w:t xml:space="preserve">Con 47 Geni, 33 Organismi e 16 formati di Mutazione, il framework produce attualmente 24.816 combinazioni uniche. Ma il numero è destinato a crescere: ogni nuova famiglia di Geni, ogni nuovo brand, ogni nuovo formato moltiplica esponenzialmente le possibilità.</w:t>
      </w:r>
    </w:p>
    <w:p>
      <w:pPr>
        <w:spacing w:after="160" w:line="340"/>
      </w:pPr>
      <w:r>
        <w:rPr>
          <w:rFonts w:ascii="Georgia" w:cs="Georgia" w:eastAsia="Georgia" w:hAnsi="Georgia"/>
          <w:color w:val="0A0A0A"/>
          <w:sz w:val="22"/>
          <w:szCs w:val="22"/>
        </w:rPr>
        <w:t xml:space="preserve">Il prossimo passo è l’apertura: rendere il framework accessibile come strumento online, raccogliere feedback dalla comunità creativa, e osservare come il metodo si evolve quando viene adottato da contesti diversi da quello in cui è nato.</w:t>
      </w:r>
    </w:p>
    <w:p>
      <w:pPr>
        <w:spacing w:after="160" w:line="340"/>
      </w:pPr>
      <w:r>
        <w:rPr>
          <w:rFonts w:ascii="Georgia" w:cs="Georgia" w:eastAsia="Georgia" w:hAnsi="Georgia"/>
          <w:color w:val="0A0A0A"/>
          <w:sz w:val="22"/>
          <w:szCs w:val="22"/>
        </w:rPr>
        <w:t xml:space="preserve">Perché un buon framework, come un buon Gene, non prescrive i risultati. Crea le condizioni perché emergano.</w:t>
      </w:r>
    </w:p>
    <w:p>
      <w:pPr>
        <w:pBdr>
          <w:top w:val="single" w:color="D1D1CC" w:sz="4" w:space="16"/>
        </w:pBdr>
        <w:spacing w:before="600" w:after="200"/>
      </w:pPr>
      <w:r>
        <w:rPr>
          <w:rFonts w:ascii="Calibri" w:cs="Calibri" w:eastAsia="Calibri" w:hAnsi="Calibri"/>
          <w:b/>
          <w:bCs/>
          <w:color w:val="0A0A0A"/>
          <w:sz w:val="22"/>
          <w:szCs w:val="22"/>
        </w:rPr>
        <w:t xml:space="preserve">Simone Dall’Angelo</w:t>
      </w:r>
    </w:p>
    <w:p>
      <w:r>
        <w:rPr>
          <w:rFonts w:ascii="Calibri" w:cs="Calibri" w:eastAsia="Calibri" w:hAnsi="Calibri"/>
          <w:color w:val="8A8A85"/>
          <w:sz w:val="20"/>
          <w:szCs w:val="20"/>
        </w:rPr>
        <w:t xml:space="preserve">Marzo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t xml:space="preserve">Pag. </w:t>
    </w:r>
    <w:r>
      <w:rPr>
        <w:rFonts w:ascii="Calibri" w:cs="Calibri" w:eastAsia="Calibri" w:hAnsi="Calibri"/>
        <w:color w:val="8A8A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1CC" w:sz="1" w:space="4"/>
      </w:pBdr>
      <w:spacing w:after="200"/>
      <w:jc w:val="right"/>
    </w:pPr>
    <w:r>
      <w:rPr>
        <w:rFonts w:ascii="Calibri" w:cs="Calibri" w:eastAsia="Calibri" w:hAnsi="Calibri"/>
        <w:color w:val="8A8A85"/>
        <w:sz w:val="16"/>
        <w:szCs w:val="16"/>
      </w:rPr>
      <w:t xml:space="preserve">G×O→M —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alibri" w:cs="Calibri" w:eastAsia="Calibri" w:hAnsi="Calibri"/>
      <w:b/>
      <w:bCs/>
      <w:color w:val="0A0A0A"/>
      <w:sz w:val="40"/>
      <w:szCs w:val="40"/>
    </w:rPr>
  </w:style>
  <w:style w:type="paragraph" w:styleId="Heading2">
    <w:name w:val="Heading 2"/>
    <w:basedOn w:val="Normal"/>
    <w:next w:val="Normal"/>
    <w:qFormat/>
    <w:pPr>
      <w:spacing w:before="360" w:after="160"/>
      <w:outlineLvl w:val="1"/>
    </w:pPr>
    <w:rPr>
      <w:rFonts w:ascii="Calibri" w:cs="Calibri" w:eastAsia="Calibri" w:hAnsi="Calibri"/>
      <w:b/>
      <w:bCs/>
      <w:color w:val="0A0A0A"/>
      <w:sz w:val="28"/>
      <w:szCs w:val="28"/>
    </w:rPr>
  </w:style>
  <w:style w:type="paragraph" w:styleId="Heading3">
    <w:name w:val="Heading 3"/>
    <w:basedOn w:val="Normal"/>
    <w:next w:val="Normal"/>
    <w:qFormat/>
    <w:pPr>
      <w:spacing w:before="240" w:after="120"/>
      <w:outlineLvl w:val="2"/>
    </w:pPr>
    <w:rPr>
      <w:rFonts w:ascii="Calibri" w:cs="Calibri" w:eastAsia="Calibri" w:hAnsi="Calibri"/>
      <w:b/>
      <w:bCs/>
      <w:color w:val="5A5A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2026-03-16T22:21:36.732Z</dcterms:created>
  <dcterms:modified xsi:type="dcterms:W3CDTF">2026-03-16T22:21:36.733Z</dcterms:modified>
</cp:coreProperties>
</file>

<file path=docProps/custom.xml><?xml version="1.0" encoding="utf-8"?>
<Properties xmlns="http://schemas.openxmlformats.org/officeDocument/2006/custom-properties" xmlns:vt="http://schemas.openxmlformats.org/officeDocument/2006/docPropsVTypes"/>
</file>