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xyz@zyx.com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Phone +478574123654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seize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conventional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enfix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syndrome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particular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ambiguity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inhabitant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paralyzed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still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circumstance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breakdown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shadow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ignorance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indulge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truth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steep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animal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organisation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promise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norm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glide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tooth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represent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tolerate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researcher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resident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powder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contraction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relinquish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take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yz@zy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