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4"/>
            <w:shd w:val="clear" w:color="auto" w:fill="0F1B2D"/>
          </w:tcPr>
          <w:p>
            <w:pPr>
              <w:spacing w:before="200" w:after="80"/>
              <w:jc w:val="center"/>
            </w:pPr>
            <w:r>
              <w:rPr>
                <w:rFonts w:ascii="Calibri" w:hAnsi="Calibri"/>
                <w:b/>
                <w:i w:val="0"/>
                <w:color w:val="AABBCC"/>
                <w:sz w:val="16"/>
              </w:rPr>
              <w:t>BTS MANAGEMENT ÉCONOMIQUE DE LA CONSTRUCTION — SESSION 2026</w:t>
            </w:r>
          </w:p>
          <w:p>
            <w:pPr>
              <w:spacing w:before="0" w:after="200"/>
              <w:jc w:val="center"/>
            </w:pPr>
            <w:r>
              <w:rPr>
                <w:rFonts w:ascii="Calibri" w:hAnsi="Calibri"/>
                <w:b w:val="0"/>
                <w:i w:val="0"/>
                <w:color w:val="8899AA"/>
                <w:sz w:val="16"/>
              </w:rPr>
              <w:t>Académie de Lyon  |  Candidat n° 02537399911</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4"/>
            <w:shd w:val="clear" w:color="auto" w:fill="1E3A5F"/>
          </w:tcPr>
          <w:p>
            <w:pPr>
              <w:spacing w:before="600" w:after="120"/>
              <w:jc w:val="center"/>
            </w:pPr>
            <w:r>
              <w:rPr>
                <w:rFonts w:ascii="Calibri" w:hAnsi="Calibri"/>
                <w:b/>
                <w:i w:val="0"/>
                <w:color w:val="F39200"/>
                <w:sz w:val="80"/>
              </w:rPr>
              <w:t>RAPPORT</w:t>
            </w:r>
          </w:p>
          <w:p>
            <w:pPr>
              <w:spacing w:before="0" w:after="120"/>
              <w:jc w:val="center"/>
            </w:pPr>
            <w:r>
              <w:rPr>
                <w:rFonts w:ascii="Calibri" w:hAnsi="Calibri"/>
                <w:b/>
                <w:i w:val="0"/>
                <w:color w:val="FFFFFF"/>
                <w:sz w:val="80"/>
              </w:rPr>
              <w:t>D'ACTIVITÉS</w:t>
            </w:r>
          </w:p>
          <w:p>
            <w:pPr>
              <w:spacing w:before="0" w:after="320"/>
              <w:jc w:val="center"/>
            </w:pPr>
            <w:r>
              <w:rPr>
                <w:rFonts w:ascii="Calibri" w:hAnsi="Calibri"/>
                <w:b/>
                <w:i w:val="0"/>
                <w:color w:val="FFFFFF"/>
                <w:sz w:val="80"/>
              </w:rPr>
              <w:t>PROFESSIONNELLES</w:t>
            </w:r>
          </w:p>
          <w:p>
            <w:pPr>
              <w:spacing w:before="80" w:after="320"/>
              <w:jc w:val="center"/>
            </w:pPr>
            <w:r>
              <w:rPr>
                <w:rFonts w:ascii="Calibri" w:hAnsi="Calibri"/>
                <w:b w:val="0"/>
                <w:i w:val="0"/>
                <w:color w:val="F39200"/>
                <w:sz w:val="24"/>
              </w:rPr>
              <w:t>━━━━━━━━━━━━━━━━━━━━━━━━━━━━━━━━━━━━</w:t>
            </w:r>
          </w:p>
          <w:p>
            <w:pPr>
              <w:spacing w:before="0" w:after="600"/>
              <w:jc w:val="center"/>
            </w:pPr>
            <w:r>
              <w:rPr>
                <w:rFonts w:ascii="Calibri" w:hAnsi="Calibri"/>
                <w:b/>
                <w:i w:val="0"/>
                <w:color w:val="CCE5FF"/>
                <w:sz w:val="28"/>
              </w:rPr>
              <w:t>BAHAFID Mohamed  —  BTS MEC  —  Session 2026</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3118"/>
        <w:gridCol w:w="3118"/>
        <w:gridCol w:w="3118"/>
      </w:tblGrid>
      <w:tr>
        <w:tc>
          <w:tcPr>
            <w:tcW w:type="dxa" w:w="3118"/>
            <w:shd w:val="clear" w:color="auto" w:fill="0F1B2D"/>
          </w:tcPr>
          <w:p>
            <w:pPr>
              <w:spacing w:before="200" w:after="80"/>
              <w:jc w:val="center"/>
            </w:pPr>
            <w:r>
              <w:rPr>
                <w:rFonts w:ascii="Calibri" w:hAnsi="Calibri"/>
                <w:b/>
                <w:i w:val="0"/>
                <w:color w:val="7799BB"/>
                <w:sz w:val="14"/>
              </w:rPr>
              <w:t>CANDIDAT</w:t>
            </w:r>
          </w:p>
          <w:p>
            <w:pPr>
              <w:spacing w:before="0" w:after="200"/>
              <w:jc w:val="center"/>
            </w:pPr>
            <w:r>
              <w:rPr>
                <w:rFonts w:ascii="Calibri" w:hAnsi="Calibri"/>
                <w:b/>
                <w:i w:val="0"/>
                <w:color w:val="FFFFFF"/>
                <w:sz w:val="18"/>
              </w:rPr>
              <w:t>BAHAFID Mohamed</w:t>
              <w:br/>
              <w:t>n° 02537399911</w:t>
            </w:r>
          </w:p>
        </w:tc>
        <w:tc>
          <w:tcPr>
            <w:tcW w:type="dxa" w:w="3118"/>
            <w:shd w:val="clear" w:color="auto" w:fill="1E3A5F"/>
          </w:tcPr>
          <w:p>
            <w:pPr>
              <w:spacing w:before="200" w:after="80"/>
              <w:jc w:val="center"/>
            </w:pPr>
            <w:r>
              <w:rPr>
                <w:rFonts w:ascii="Calibri" w:hAnsi="Calibri"/>
                <w:b/>
                <w:i w:val="0"/>
                <w:color w:val="7799BB"/>
                <w:sz w:val="14"/>
              </w:rPr>
              <w:t>STRUCTURE</w:t>
            </w:r>
          </w:p>
          <w:p>
            <w:pPr>
              <w:spacing w:before="0" w:after="200"/>
              <w:jc w:val="center"/>
            </w:pPr>
            <w:r>
              <w:rPr>
                <w:rFonts w:ascii="Calibri" w:hAnsi="Calibri"/>
                <w:b/>
                <w:i w:val="0"/>
                <w:color w:val="FFFFFF"/>
                <w:sz w:val="18"/>
              </w:rPr>
              <w:t>Conseil Régional de</w:t>
              <w:br/>
              <w:t>Béni Mellal-Khénifra</w:t>
            </w:r>
          </w:p>
        </w:tc>
        <w:tc>
          <w:tcPr>
            <w:tcW w:type="dxa" w:w="3118"/>
            <w:shd w:val="clear" w:color="auto" w:fill="0F1B2D"/>
          </w:tcPr>
          <w:p>
            <w:pPr>
              <w:spacing w:before="200" w:after="80"/>
              <w:jc w:val="center"/>
            </w:pPr>
            <w:r>
              <w:rPr>
                <w:rFonts w:ascii="Calibri" w:hAnsi="Calibri"/>
                <w:b/>
                <w:i w:val="0"/>
                <w:color w:val="7799BB"/>
                <w:sz w:val="14"/>
              </w:rPr>
              <w:t>ACTIVITÉ</w:t>
            </w:r>
          </w:p>
          <w:p>
            <w:pPr>
              <w:spacing w:before="0" w:after="200"/>
              <w:jc w:val="center"/>
            </w:pPr>
            <w:r>
              <w:rPr>
                <w:rFonts w:ascii="Calibri" w:hAnsi="Calibri"/>
                <w:b/>
                <w:i w:val="0"/>
                <w:color w:val="FFFFFF"/>
                <w:sz w:val="18"/>
              </w:rPr>
              <w:t>BIMCO — Projeteur BIM</w:t>
              <w:br/>
              <w:t>Économiste de la construction</w:t>
            </w:r>
          </w:p>
        </w:tc>
      </w:tr>
    </w:tbl>
    <w:p>
      <w:r>
        <w:b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4"/>
            <w:shd w:val="clear" w:color="auto" w:fill="1E3A5F"/>
          </w:tcPr>
          <w:p>
            <w:pPr>
              <w:spacing w:before="160" w:after="160"/>
              <w:jc w:val="left"/>
            </w:pPr>
            <w:r>
              <w:rPr>
                <w:rFonts w:ascii="Calibri" w:hAnsi="Calibri"/>
                <w:b/>
                <w:i w:val="0"/>
                <w:color w:val="FFFFFF"/>
                <w:sz w:val="32"/>
              </w:rPr>
              <w:t>FICHE D'IDENTITÉ DU CANDIDAT</w:t>
            </w:r>
          </w:p>
        </w:tc>
      </w:tr>
    </w:tbl>
    <w:p/>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3118"/>
            <w:shd w:val="clear" w:color="auto" w:fill="F0F4F8"/>
          </w:tcPr>
          <w:p>
            <w:pPr>
              <w:spacing w:before="80" w:after="80"/>
            </w:pPr>
            <w:r>
              <w:rPr>
                <w:rFonts w:ascii="Calibri" w:hAnsi="Calibri"/>
                <w:b/>
                <w:i w:val="0"/>
                <w:color w:val="1E3A5F"/>
                <w:sz w:val="19"/>
              </w:rPr>
              <w:t>Candidat</w:t>
            </w:r>
          </w:p>
        </w:tc>
        <w:tc>
          <w:tcPr>
            <w:tcW w:type="dxa" w:w="6236"/>
            <w:shd w:val="clear" w:color="auto" w:fill="F0F4F8"/>
          </w:tcPr>
          <w:p>
            <w:pPr>
              <w:spacing w:before="80" w:after="80"/>
            </w:pPr>
            <w:r>
              <w:rPr>
                <w:rFonts w:ascii="Calibri" w:hAnsi="Calibri"/>
                <w:b w:val="0"/>
                <w:i w:val="0"/>
                <w:color w:val="2D2D2D"/>
                <w:sz w:val="19"/>
              </w:rPr>
              <w:t>BAHAFID Mohamed</w:t>
            </w:r>
          </w:p>
        </w:tc>
      </w:tr>
      <w:tr>
        <w:tc>
          <w:tcPr>
            <w:tcW w:type="dxa" w:w="3118"/>
            <w:shd w:val="clear" w:color="auto" w:fill="FFFFFF"/>
          </w:tcPr>
          <w:p>
            <w:pPr>
              <w:spacing w:before="80" w:after="80"/>
            </w:pPr>
            <w:r>
              <w:rPr>
                <w:rFonts w:ascii="Calibri" w:hAnsi="Calibri"/>
                <w:b/>
                <w:i w:val="0"/>
                <w:color w:val="1E3A5F"/>
                <w:sz w:val="19"/>
              </w:rPr>
              <w:t>N° Candidat</w:t>
            </w:r>
          </w:p>
        </w:tc>
        <w:tc>
          <w:tcPr>
            <w:tcW w:type="dxa" w:w="6236"/>
            <w:shd w:val="clear" w:color="auto" w:fill="FFFFFF"/>
          </w:tcPr>
          <w:p>
            <w:pPr>
              <w:spacing w:before="80" w:after="80"/>
            </w:pPr>
            <w:r>
              <w:rPr>
                <w:rFonts w:ascii="Calibri" w:hAnsi="Calibri"/>
                <w:b w:val="0"/>
                <w:i w:val="0"/>
                <w:color w:val="2D2D2D"/>
                <w:sz w:val="19"/>
              </w:rPr>
              <w:t>02537399911</w:t>
            </w:r>
          </w:p>
        </w:tc>
      </w:tr>
      <w:tr>
        <w:tc>
          <w:tcPr>
            <w:tcW w:type="dxa" w:w="3118"/>
            <w:shd w:val="clear" w:color="auto" w:fill="F0F4F8"/>
          </w:tcPr>
          <w:p>
            <w:pPr>
              <w:spacing w:before="80" w:after="80"/>
            </w:pPr>
            <w:r>
              <w:rPr>
                <w:rFonts w:ascii="Calibri" w:hAnsi="Calibri"/>
                <w:b/>
                <w:i w:val="0"/>
                <w:color w:val="1E3A5F"/>
                <w:sz w:val="19"/>
              </w:rPr>
              <w:t>Académie</w:t>
            </w:r>
          </w:p>
        </w:tc>
        <w:tc>
          <w:tcPr>
            <w:tcW w:type="dxa" w:w="6236"/>
            <w:shd w:val="clear" w:color="auto" w:fill="F0F4F8"/>
          </w:tcPr>
          <w:p>
            <w:pPr>
              <w:spacing w:before="80" w:after="80"/>
            </w:pPr>
            <w:r>
              <w:rPr>
                <w:rFonts w:ascii="Calibri" w:hAnsi="Calibri"/>
                <w:b w:val="0"/>
                <w:i w:val="0"/>
                <w:color w:val="2D2D2D"/>
                <w:sz w:val="19"/>
              </w:rPr>
              <w:t>Lyon</w:t>
            </w:r>
          </w:p>
        </w:tc>
      </w:tr>
      <w:tr>
        <w:tc>
          <w:tcPr>
            <w:tcW w:type="dxa" w:w="3118"/>
            <w:shd w:val="clear" w:color="auto" w:fill="FFFFFF"/>
          </w:tcPr>
          <w:p>
            <w:pPr>
              <w:spacing w:before="80" w:after="80"/>
            </w:pPr>
            <w:r>
              <w:rPr>
                <w:rFonts w:ascii="Calibri" w:hAnsi="Calibri"/>
                <w:b/>
                <w:i w:val="0"/>
                <w:color w:val="1E3A5F"/>
                <w:sz w:val="19"/>
              </w:rPr>
              <w:t>Structure d'accueil</w:t>
            </w:r>
          </w:p>
        </w:tc>
        <w:tc>
          <w:tcPr>
            <w:tcW w:type="dxa" w:w="6236"/>
            <w:shd w:val="clear" w:color="auto" w:fill="FFFFFF"/>
          </w:tcPr>
          <w:p>
            <w:pPr>
              <w:spacing w:before="80" w:after="80"/>
            </w:pPr>
            <w:r>
              <w:rPr>
                <w:rFonts w:ascii="Calibri" w:hAnsi="Calibri"/>
                <w:b w:val="0"/>
                <w:i w:val="0"/>
                <w:color w:val="2D2D2D"/>
                <w:sz w:val="19"/>
              </w:rPr>
              <w:t>Conseil Régional de Béni Mellal-Khénifra (Maroc)</w:t>
            </w:r>
          </w:p>
        </w:tc>
      </w:tr>
      <w:tr>
        <w:tc>
          <w:tcPr>
            <w:tcW w:type="dxa" w:w="3118"/>
            <w:shd w:val="clear" w:color="auto" w:fill="F0F4F8"/>
          </w:tcPr>
          <w:p>
            <w:pPr>
              <w:spacing w:before="80" w:after="80"/>
            </w:pPr>
            <w:r>
              <w:rPr>
                <w:rFonts w:ascii="Calibri" w:hAnsi="Calibri"/>
                <w:b/>
                <w:i w:val="0"/>
                <w:color w:val="1E3A5F"/>
                <w:sz w:val="19"/>
              </w:rPr>
              <w:t>Direction</w:t>
            </w:r>
          </w:p>
        </w:tc>
        <w:tc>
          <w:tcPr>
            <w:tcW w:type="dxa" w:w="6236"/>
            <w:shd w:val="clear" w:color="auto" w:fill="F0F4F8"/>
          </w:tcPr>
          <w:p>
            <w:pPr>
              <w:spacing w:before="80" w:after="80"/>
            </w:pPr>
            <w:r>
              <w:rPr>
                <w:rFonts w:ascii="Calibri" w:hAnsi="Calibri"/>
                <w:b w:val="0"/>
                <w:i w:val="0"/>
                <w:color w:val="2D2D2D"/>
                <w:sz w:val="19"/>
              </w:rPr>
              <w:t>Agence d'Exécution des Projets</w:t>
            </w:r>
          </w:p>
        </w:tc>
      </w:tr>
      <w:tr>
        <w:tc>
          <w:tcPr>
            <w:tcW w:type="dxa" w:w="3118"/>
            <w:shd w:val="clear" w:color="auto" w:fill="FFFFFF"/>
          </w:tcPr>
          <w:p>
            <w:pPr>
              <w:spacing w:before="80" w:after="80"/>
            </w:pPr>
            <w:r>
              <w:rPr>
                <w:rFonts w:ascii="Calibri" w:hAnsi="Calibri"/>
                <w:b/>
                <w:i w:val="0"/>
                <w:color w:val="1E3A5F"/>
                <w:sz w:val="19"/>
              </w:rPr>
              <w:t>Poste occupé</w:t>
            </w:r>
          </w:p>
        </w:tc>
        <w:tc>
          <w:tcPr>
            <w:tcW w:type="dxa" w:w="6236"/>
            <w:shd w:val="clear" w:color="auto" w:fill="FFFFFF"/>
          </w:tcPr>
          <w:p>
            <w:pPr>
              <w:spacing w:before="80" w:after="80"/>
            </w:pPr>
            <w:r>
              <w:rPr>
                <w:rFonts w:ascii="Calibri" w:hAnsi="Calibri"/>
                <w:b w:val="0"/>
                <w:i w:val="0"/>
                <w:color w:val="2D2D2D"/>
                <w:sz w:val="19"/>
              </w:rPr>
              <w:t>Technicien Études et Suivi des Travaux</w:t>
            </w:r>
          </w:p>
        </w:tc>
      </w:tr>
      <w:tr>
        <w:tc>
          <w:tcPr>
            <w:tcW w:type="dxa" w:w="3118"/>
            <w:shd w:val="clear" w:color="auto" w:fill="F0F4F8"/>
          </w:tcPr>
          <w:p>
            <w:pPr>
              <w:spacing w:before="80" w:after="80"/>
            </w:pPr>
            <w:r>
              <w:rPr>
                <w:rFonts w:ascii="Calibri" w:hAnsi="Calibri"/>
                <w:b/>
                <w:i w:val="0"/>
                <w:color w:val="1E3A5F"/>
                <w:sz w:val="19"/>
              </w:rPr>
              <w:t>Durée d'expérience</w:t>
            </w:r>
          </w:p>
        </w:tc>
        <w:tc>
          <w:tcPr>
            <w:tcW w:type="dxa" w:w="6236"/>
            <w:shd w:val="clear" w:color="auto" w:fill="F0F4F8"/>
          </w:tcPr>
          <w:p>
            <w:pPr>
              <w:spacing w:before="80" w:after="80"/>
            </w:pPr>
            <w:r>
              <w:rPr>
                <w:rFonts w:ascii="Calibri" w:hAnsi="Calibri"/>
                <w:b w:val="0"/>
                <w:i w:val="0"/>
                <w:color w:val="2D2D2D"/>
                <w:sz w:val="19"/>
              </w:rPr>
              <w:t>8 ans dans le BTP (3 ans Maroc + 5 ans France)</w:t>
            </w:r>
          </w:p>
        </w:tc>
      </w:tr>
      <w:tr>
        <w:tc>
          <w:tcPr>
            <w:tcW w:type="dxa" w:w="3118"/>
            <w:shd w:val="clear" w:color="auto" w:fill="FFFFFF"/>
          </w:tcPr>
          <w:p>
            <w:pPr>
              <w:spacing w:before="80" w:after="80"/>
            </w:pPr>
            <w:r>
              <w:rPr>
                <w:rFonts w:ascii="Calibri" w:hAnsi="Calibri"/>
                <w:b/>
                <w:i w:val="0"/>
                <w:color w:val="1E3A5F"/>
                <w:sz w:val="19"/>
              </w:rPr>
              <w:t>Formation BIM</w:t>
            </w:r>
          </w:p>
        </w:tc>
        <w:tc>
          <w:tcPr>
            <w:tcW w:type="dxa" w:w="6236"/>
            <w:shd w:val="clear" w:color="auto" w:fill="FFFFFF"/>
          </w:tcPr>
          <w:p>
            <w:pPr>
              <w:spacing w:before="80" w:after="80"/>
            </w:pPr>
            <w:r>
              <w:rPr>
                <w:rFonts w:ascii="Calibri" w:hAnsi="Calibri"/>
                <w:b w:val="0"/>
                <w:i w:val="0"/>
                <w:color w:val="2D2D2D"/>
                <w:sz w:val="19"/>
              </w:rPr>
              <w:t>Technicien Modeleur BIM – AFPA Colmar (8 mois)</w:t>
            </w:r>
          </w:p>
        </w:tc>
      </w:tr>
      <w:tr>
        <w:tc>
          <w:tcPr>
            <w:tcW w:type="dxa" w:w="3118"/>
            <w:shd w:val="clear" w:color="auto" w:fill="F0F4F8"/>
          </w:tcPr>
          <w:p>
            <w:pPr>
              <w:spacing w:before="80" w:after="80"/>
            </w:pPr>
            <w:r>
              <w:rPr>
                <w:rFonts w:ascii="Calibri" w:hAnsi="Calibri"/>
                <w:b/>
                <w:i w:val="0"/>
                <w:color w:val="1E3A5F"/>
                <w:sz w:val="19"/>
              </w:rPr>
              <w:t>Activité actuelle</w:t>
            </w:r>
          </w:p>
        </w:tc>
        <w:tc>
          <w:tcPr>
            <w:tcW w:type="dxa" w:w="6236"/>
            <w:shd w:val="clear" w:color="auto" w:fill="F0F4F8"/>
          </w:tcPr>
          <w:p>
            <w:pPr>
              <w:spacing w:before="80" w:after="80"/>
            </w:pPr>
            <w:r>
              <w:rPr>
                <w:rFonts w:ascii="Calibri" w:hAnsi="Calibri"/>
                <w:b w:val="0"/>
                <w:i w:val="0"/>
                <w:color w:val="2D2D2D"/>
                <w:sz w:val="19"/>
              </w:rPr>
              <w:t>BIMCO – Projeteur BIM / Économiste de la construction</w:t>
            </w:r>
          </w:p>
        </w:tc>
      </w:tr>
      <w:tr>
        <w:tc>
          <w:tcPr>
            <w:tcW w:type="dxa" w:w="3118"/>
            <w:shd w:val="clear" w:color="auto" w:fill="FFFFFF"/>
          </w:tcPr>
          <w:p>
            <w:pPr>
              <w:spacing w:before="80" w:after="80"/>
            </w:pPr>
            <w:r>
              <w:rPr>
                <w:rFonts w:ascii="Calibri" w:hAnsi="Calibri"/>
                <w:b/>
                <w:i w:val="0"/>
                <w:color w:val="1E3A5F"/>
                <w:sz w:val="19"/>
              </w:rPr>
              <w:t>SIREN / APE</w:t>
            </w:r>
          </w:p>
        </w:tc>
        <w:tc>
          <w:tcPr>
            <w:tcW w:type="dxa" w:w="6236"/>
            <w:shd w:val="clear" w:color="auto" w:fill="FFFFFF"/>
          </w:tcPr>
          <w:p>
            <w:pPr>
              <w:spacing w:before="80" w:after="80"/>
            </w:pPr>
            <w:r>
              <w:rPr>
                <w:rFonts w:ascii="Calibri" w:hAnsi="Calibri"/>
                <w:b w:val="0"/>
                <w:i w:val="0"/>
                <w:color w:val="2D2D2D"/>
                <w:sz w:val="19"/>
              </w:rPr>
              <w:t>999580053 / 7112B – Ingénierie, études techniques</w:t>
            </w:r>
          </w:p>
        </w:tc>
      </w:tr>
      <w:tr>
        <w:tc>
          <w:tcPr>
            <w:tcW w:type="dxa" w:w="3118"/>
            <w:shd w:val="clear" w:color="auto" w:fill="F0F4F8"/>
          </w:tcPr>
          <w:p>
            <w:pPr>
              <w:spacing w:before="80" w:after="80"/>
            </w:pPr>
            <w:r>
              <w:rPr>
                <w:rFonts w:ascii="Calibri" w:hAnsi="Calibri"/>
                <w:b/>
                <w:i w:val="0"/>
                <w:color w:val="1E3A5F"/>
                <w:sz w:val="19"/>
              </w:rPr>
              <w:t>Siège</w:t>
            </w:r>
          </w:p>
        </w:tc>
        <w:tc>
          <w:tcPr>
            <w:tcW w:type="dxa" w:w="6236"/>
            <w:shd w:val="clear" w:color="auto" w:fill="F0F4F8"/>
          </w:tcPr>
          <w:p>
            <w:pPr>
              <w:spacing w:before="80" w:after="80"/>
            </w:pPr>
            <w:r>
              <w:rPr>
                <w:rFonts w:ascii="Calibri" w:hAnsi="Calibri"/>
                <w:b w:val="0"/>
                <w:i w:val="0"/>
                <w:color w:val="2D2D2D"/>
                <w:sz w:val="19"/>
              </w:rPr>
              <w:t>44 rue de la République, 42510 Bussières (Loire)</w:t>
            </w:r>
          </w:p>
        </w:tc>
      </w:tr>
    </w:tbl>
    <w:p>
      <w:pPr>
        <w:spacing w:after="120"/>
      </w:pPr>
    </w:p>
    <w:p>
      <w:pPr>
        <w:spacing w:before="0" w:after="80"/>
        <w:jc w:val="center"/>
      </w:pPr>
      <w:r>
        <w:rPr>
          <w:rFonts w:ascii="Calibri" w:hAnsi="Calibri"/>
          <w:b w:val="0"/>
          <w:i w:val="0"/>
          <w:color w:val="888888"/>
          <w:sz w:val="16"/>
        </w:rPr>
        <w:t>gestion.bimco-consulting.fr | BIMCO – Expert BIM &amp; Économie de la Construction</w:t>
      </w:r>
    </w:p>
    <w:p>
      <w:r>
        <w:b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4"/>
            <w:shd w:val="clear" w:color="auto" w:fill="0F1B2D"/>
          </w:tcPr>
          <w:p>
            <w:pPr>
              <w:spacing w:before="160" w:after="160"/>
              <w:jc w:val="left"/>
            </w:pPr>
            <w:r>
              <w:rPr>
                <w:rFonts w:ascii="Calibri" w:hAnsi="Calibri"/>
                <w:b/>
                <w:i w:val="0"/>
                <w:color w:val="FFFFFF"/>
                <w:sz w:val="32"/>
              </w:rPr>
              <w:t>SOMMAIRE</w:t>
            </w:r>
          </w:p>
        </w:tc>
      </w:tr>
    </w:tbl>
    <w:p/>
    <w:p>
      <w:pPr>
        <w:spacing w:before="80" w:after="80"/>
      </w:pPr>
      <w:r>
        <w:rPr>
          <w:rFonts w:ascii="Calibri" w:hAnsi="Calibri"/>
          <w:b/>
          <w:i w:val="0"/>
          <w:color w:val="5CC8C0"/>
          <w:sz w:val="22"/>
        </w:rPr>
        <w:t xml:space="preserve">  ● </w:t>
      </w:r>
      <w:r>
        <w:rPr>
          <w:rFonts w:ascii="Calibri" w:hAnsi="Calibri"/>
          <w:b/>
          <w:i w:val="0"/>
          <w:color w:val="1E3A5F"/>
          <w:sz w:val="22"/>
        </w:rPr>
        <w:t>Introduction et parcours</w:t>
      </w:r>
    </w:p>
    <w:p>
      <w:pPr>
        <w:spacing w:before="0" w:after="120"/>
        <w:ind w:left="680"/>
      </w:pPr>
      <w:r>
        <w:rPr>
          <w:rFonts w:ascii="Calibri" w:hAnsi="Calibri"/>
          <w:b w:val="0"/>
          <w:i w:val="0"/>
          <w:color w:val="888888"/>
          <w:sz w:val="18"/>
        </w:rPr>
        <w:t>Présentation du rapport, démarche CPAR, parcours en 5 phases  ...... p. 4</w:t>
      </w:r>
    </w:p>
    <w:p>
      <w:pPr>
        <w:spacing w:before="80" w:after="80"/>
      </w:pPr>
      <w:r>
        <w:rPr>
          <w:rFonts w:ascii="Calibri" w:hAnsi="Calibri"/>
          <w:b/>
          <w:i w:val="0"/>
          <w:color w:val="F39200"/>
          <w:sz w:val="22"/>
        </w:rPr>
        <w:t xml:space="preserve">  01. </w:t>
      </w:r>
      <w:r>
        <w:rPr>
          <w:rFonts w:ascii="Calibri" w:hAnsi="Calibri"/>
          <w:b/>
          <w:i w:val="0"/>
          <w:color w:val="1E3A5F"/>
          <w:sz w:val="22"/>
        </w:rPr>
        <w:t>Cadre professionnel</w:t>
      </w:r>
    </w:p>
    <w:p>
      <w:pPr>
        <w:spacing w:before="0" w:after="120"/>
        <w:ind w:left="680"/>
      </w:pPr>
      <w:r>
        <w:rPr>
          <w:rFonts w:ascii="Calibri" w:hAnsi="Calibri"/>
          <w:b w:val="0"/>
          <w:i w:val="0"/>
          <w:color w:val="888888"/>
          <w:sz w:val="18"/>
        </w:rPr>
        <w:t>Conseil Régional de Béni Mellal-Khénifra | BIMCO  ...... p. 5–7</w:t>
      </w:r>
    </w:p>
    <w:p>
      <w:pPr>
        <w:spacing w:before="80" w:after="80"/>
      </w:pPr>
      <w:r>
        <w:rPr>
          <w:rFonts w:ascii="Calibri" w:hAnsi="Calibri"/>
          <w:b/>
          <w:i w:val="0"/>
          <w:color w:val="F39200"/>
          <w:sz w:val="22"/>
        </w:rPr>
        <w:t xml:space="preserve">  02. </w:t>
      </w:r>
      <w:r>
        <w:rPr>
          <w:rFonts w:ascii="Calibri" w:hAnsi="Calibri"/>
          <w:b/>
          <w:i w:val="0"/>
          <w:color w:val="1E3A5F"/>
          <w:sz w:val="22"/>
        </w:rPr>
        <w:t>Projet 1 : Mise à niveau de 4 communes</w:t>
      </w:r>
    </w:p>
    <w:p>
      <w:pPr>
        <w:spacing w:before="0" w:after="120"/>
        <w:ind w:left="680"/>
      </w:pPr>
      <w:r>
        <w:rPr>
          <w:rFonts w:ascii="Calibri" w:hAnsi="Calibri"/>
          <w:b w:val="0"/>
          <w:i w:val="0"/>
          <w:color w:val="888888"/>
          <w:sz w:val="18"/>
        </w:rPr>
        <w:t>53,5 M DH TTC — Fiche projet, budget, 4 situations CPAR, défis  ...... p. 8–15</w:t>
      </w:r>
    </w:p>
    <w:p>
      <w:pPr>
        <w:spacing w:before="80" w:after="80"/>
      </w:pPr>
      <w:r>
        <w:rPr>
          <w:rFonts w:ascii="Calibri" w:hAnsi="Calibri"/>
          <w:b/>
          <w:i w:val="0"/>
          <w:color w:val="F39200"/>
          <w:sz w:val="22"/>
        </w:rPr>
        <w:t xml:space="preserve">  03. </w:t>
      </w:r>
      <w:r>
        <w:rPr>
          <w:rFonts w:ascii="Calibri" w:hAnsi="Calibri"/>
          <w:b/>
          <w:i w:val="0"/>
          <w:color w:val="1E3A5F"/>
          <w:sz w:val="22"/>
        </w:rPr>
        <w:t>Projet 2 : Route Lehri-Kerrouchen</w:t>
      </w:r>
    </w:p>
    <w:p>
      <w:pPr>
        <w:spacing w:before="0" w:after="120"/>
        <w:ind w:left="680"/>
      </w:pPr>
      <w:r>
        <w:rPr>
          <w:rFonts w:ascii="Calibri" w:hAnsi="Calibri"/>
          <w:b w:val="0"/>
          <w:i w:val="0"/>
          <w:color w:val="888888"/>
          <w:sz w:val="18"/>
        </w:rPr>
        <w:t>29 M DH TTC — Fiche projet, budget, cubatures, défis montagne  ...... p. 16–20</w:t>
      </w:r>
    </w:p>
    <w:p>
      <w:pPr>
        <w:spacing w:before="80" w:after="80"/>
      </w:pPr>
      <w:r>
        <w:rPr>
          <w:rFonts w:ascii="Calibri" w:hAnsi="Calibri"/>
          <w:b/>
          <w:i w:val="0"/>
          <w:color w:val="F39200"/>
          <w:sz w:val="22"/>
        </w:rPr>
        <w:t xml:space="preserve">  04. </w:t>
      </w:r>
      <w:r>
        <w:rPr>
          <w:rFonts w:ascii="Calibri" w:hAnsi="Calibri"/>
          <w:b/>
          <w:i w:val="0"/>
          <w:color w:val="1E3A5F"/>
          <w:sz w:val="22"/>
        </w:rPr>
        <w:t>Bilan, analyse et perspectives</w:t>
      </w:r>
    </w:p>
    <w:p>
      <w:pPr>
        <w:spacing w:before="0" w:after="120"/>
        <w:ind w:left="680"/>
      </w:pPr>
      <w:r>
        <w:rPr>
          <w:rFonts w:ascii="Calibri" w:hAnsi="Calibri"/>
          <w:b w:val="0"/>
          <w:i w:val="0"/>
          <w:color w:val="888888"/>
          <w:sz w:val="18"/>
        </w:rPr>
        <w:t>Activités complémentaires | Compétences | Réflexif | BIM | Projet pro  ...... p. 21–27</w:t>
      </w:r>
    </w:p>
    <w:p>
      <w:pPr>
        <w:spacing w:before="80" w:after="80"/>
      </w:pPr>
      <w:r>
        <w:rPr>
          <w:rFonts w:ascii="Calibri" w:hAnsi="Calibri"/>
          <w:b/>
          <w:i w:val="0"/>
          <w:color w:val="5CC8C0"/>
          <w:sz w:val="22"/>
        </w:rPr>
        <w:t xml:space="preserve">  ● </w:t>
      </w:r>
      <w:r>
        <w:rPr>
          <w:rFonts w:ascii="Calibri" w:hAnsi="Calibri"/>
          <w:b/>
          <w:i w:val="0"/>
          <w:color w:val="1E3A5F"/>
          <w:sz w:val="22"/>
        </w:rPr>
        <w:t>Conclusion et annexes</w:t>
      </w:r>
    </w:p>
    <w:p>
      <w:pPr>
        <w:spacing w:before="0" w:after="120"/>
        <w:ind w:left="680"/>
      </w:pPr>
      <w:r>
        <w:rPr>
          <w:rFonts w:ascii="Calibri" w:hAnsi="Calibri"/>
          <w:b w:val="0"/>
          <w:i w:val="0"/>
          <w:color w:val="888888"/>
          <w:sz w:val="18"/>
        </w:rPr>
        <w:t>Synthèse finale, documents officiels et photos de chantier  ...... p. 28–30</w:t>
      </w:r>
    </w:p>
    <w:p>
      <w:r>
        <w:b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4"/>
            <w:shd w:val="clear" w:color="auto" w:fill="2E86C1"/>
          </w:tcPr>
          <w:p>
            <w:pPr>
              <w:spacing w:before="160" w:after="160"/>
              <w:jc w:val="left"/>
            </w:pPr>
            <w:r>
              <w:rPr>
                <w:rFonts w:ascii="Calibri" w:hAnsi="Calibri"/>
                <w:b/>
                <w:i w:val="0"/>
                <w:color w:val="FFFFFF"/>
                <w:sz w:val="32"/>
              </w:rPr>
              <w:t>INTRODUCTION ET PARCOURS</w:t>
            </w:r>
          </w:p>
        </w:tc>
      </w:tr>
    </w:tbl>
    <w:p/>
    <w:p>
      <w:pPr>
        <w:spacing w:before="0" w:after="160"/>
        <w:jc w:val="both"/>
      </w:pPr>
      <w:r>
        <w:rPr>
          <w:rFonts w:ascii="Calibri" w:hAnsi="Calibri"/>
          <w:b w:val="0"/>
          <w:i w:val="0"/>
          <w:color w:val="2D2D2D"/>
          <w:sz w:val="21"/>
        </w:rPr>
        <w:t>Fort de huit années d'expérience dans le BTP — trois ans au Maroc en maîtrise d'ouvrage publique et cinq ans en France sur chantier et en formation BIM — ce rapport présente cinq situations professionnelles issues de deux projets majeurs : la mise à niveau de 4 communes (53,5 M DH TTC, 8 corps d'état) et 25 km de route en montagne (29 M DH TTC). Cette double expérience MOA/exécution offre une vision complète du cycle de vie d'un projet : de la programmation jusqu'à la réception. Chaque situation est analysée selon la démarche CPAR.</w:t>
      </w:r>
    </w:p>
    <w:tbl>
      <w:tblPr>
        <w:tblW w:type="auto" w:w="0"/>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5"/>
            <w:shd w:val="clear" w:color="auto" w:fill="1E3A5F"/>
          </w:tcPr>
          <w:p>
            <w:pPr>
              <w:spacing w:before="80" w:after="80"/>
            </w:pPr>
            <w:r>
              <w:rPr>
                <w:rFonts w:ascii="Calibri" w:hAnsi="Calibri"/>
                <w:b/>
                <w:i w:val="0"/>
                <w:color w:val="FFFFFF"/>
                <w:sz w:val="20"/>
              </w:rPr>
              <w:t>MON PARCOURS EN 5 PHASES</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3118"/>
        <w:gridCol w:w="3118"/>
        <w:gridCol w:w="3118"/>
      </w:tblGrid>
      <w:tr>
        <w:tc>
          <w:tcPr>
            <w:tcW w:type="dxa" w:w="1701"/>
            <w:shd w:val="clear" w:color="auto" w:fill="5CC8C0"/>
          </w:tcPr>
          <w:p>
            <w:pPr>
              <w:spacing w:before="120" w:after="120"/>
              <w:jc w:val="center"/>
            </w:pPr>
            <w:r>
              <w:rPr>
                <w:rFonts w:ascii="Calibri" w:hAnsi="Calibri"/>
                <w:b/>
                <w:i w:val="0"/>
                <w:color w:val="FFFFFF"/>
                <w:sz w:val="17"/>
              </w:rPr>
              <w:t>2014-2017</w:t>
            </w:r>
          </w:p>
        </w:tc>
        <w:tc>
          <w:tcPr>
            <w:tcW w:type="dxa" w:w="2551"/>
            <w:shd w:val="clear" w:color="auto" w:fill="F0F4F8"/>
          </w:tcPr>
          <w:p>
            <w:pPr>
              <w:spacing w:before="120" w:after="40"/>
            </w:pPr>
            <w:r>
              <w:rPr>
                <w:rFonts w:ascii="Calibri" w:hAnsi="Calibri"/>
                <w:b/>
                <w:i w:val="0"/>
                <w:color w:val="1E3A5F"/>
                <w:sz w:val="19"/>
              </w:rPr>
              <w:t>Formation BTP – Maroc</w:t>
            </w:r>
          </w:p>
        </w:tc>
        <w:tc>
          <w:tcPr>
            <w:tcW w:type="dxa" w:w="5102"/>
            <w:shd w:val="clear" w:color="auto" w:fill="FFFFFF"/>
          </w:tcPr>
          <w:p>
            <w:pPr>
              <w:spacing w:before="120" w:after="120"/>
            </w:pPr>
            <w:r>
              <w:rPr>
                <w:rFonts w:ascii="Calibri" w:hAnsi="Calibri"/>
                <w:b w:val="0"/>
                <w:i w:val="0"/>
                <w:color w:val="2D2D2D"/>
                <w:sz w:val="18"/>
              </w:rPr>
              <w:t>CC BTP + TS Gros Œuvre ISBTP Oujda : planification, métrés, lecture de plans, suivi technique</w:t>
            </w:r>
          </w:p>
        </w:tc>
      </w:tr>
      <w:tr>
        <w:tc>
          <w:tcPr>
            <w:tcW w:type="dxa" w:w="1701"/>
            <w:shd w:val="clear" w:color="auto" w:fill="1E3A5F"/>
          </w:tcPr>
          <w:p>
            <w:pPr>
              <w:spacing w:before="120" w:after="120"/>
              <w:jc w:val="center"/>
            </w:pPr>
            <w:r>
              <w:rPr>
                <w:rFonts w:ascii="Calibri" w:hAnsi="Calibri"/>
                <w:b/>
                <w:i w:val="0"/>
                <w:color w:val="FFFFFF"/>
                <w:sz w:val="17"/>
              </w:rPr>
              <w:t>2017-2022</w:t>
            </w:r>
          </w:p>
        </w:tc>
        <w:tc>
          <w:tcPr>
            <w:tcW w:type="dxa" w:w="2551"/>
            <w:shd w:val="clear" w:color="auto" w:fill="F0F4F8"/>
          </w:tcPr>
          <w:p>
            <w:pPr>
              <w:spacing w:before="120" w:after="40"/>
            </w:pPr>
            <w:r>
              <w:rPr>
                <w:rFonts w:ascii="Calibri" w:hAnsi="Calibri"/>
                <w:b/>
                <w:i w:val="0"/>
                <w:color w:val="1E3A5F"/>
                <w:sz w:val="19"/>
              </w:rPr>
              <w:t>Chargé d'affaires – MOA</w:t>
            </w:r>
          </w:p>
        </w:tc>
        <w:tc>
          <w:tcPr>
            <w:tcW w:type="dxa" w:w="5102"/>
            <w:shd w:val="clear" w:color="auto" w:fill="FFFFFF"/>
          </w:tcPr>
          <w:p>
            <w:pPr>
              <w:spacing w:before="120" w:after="120"/>
            </w:pPr>
            <w:r>
              <w:rPr>
                <w:rFonts w:ascii="Calibri" w:hAnsi="Calibri"/>
                <w:b w:val="0"/>
                <w:i w:val="0"/>
                <w:color w:val="2D2D2D"/>
                <w:sz w:val="18"/>
              </w:rPr>
              <w:t>Conseil Régional BMK : 7 marchés (100 M DH) — avant-métrés, CAO, OS, décomptes définitifs</w:t>
            </w:r>
          </w:p>
        </w:tc>
      </w:tr>
      <w:tr>
        <w:tc>
          <w:tcPr>
            <w:tcW w:type="dxa" w:w="1701"/>
            <w:shd w:val="clear" w:color="auto" w:fill="F39200"/>
          </w:tcPr>
          <w:p>
            <w:pPr>
              <w:spacing w:before="120" w:after="120"/>
              <w:jc w:val="center"/>
            </w:pPr>
            <w:r>
              <w:rPr>
                <w:rFonts w:ascii="Calibri" w:hAnsi="Calibri"/>
                <w:b/>
                <w:i w:val="0"/>
                <w:color w:val="FFFFFF"/>
                <w:sz w:val="17"/>
              </w:rPr>
              <w:t>2022-2024</w:t>
            </w:r>
          </w:p>
        </w:tc>
        <w:tc>
          <w:tcPr>
            <w:tcW w:type="dxa" w:w="2551"/>
            <w:shd w:val="clear" w:color="auto" w:fill="F0F4F8"/>
          </w:tcPr>
          <w:p>
            <w:pPr>
              <w:spacing w:before="120" w:after="40"/>
            </w:pPr>
            <w:r>
              <w:rPr>
                <w:rFonts w:ascii="Calibri" w:hAnsi="Calibri"/>
                <w:b/>
                <w:i w:val="0"/>
                <w:color w:val="1E3A5F"/>
                <w:sz w:val="19"/>
              </w:rPr>
              <w:t>Chef de chantier – France</w:t>
            </w:r>
          </w:p>
        </w:tc>
        <w:tc>
          <w:tcPr>
            <w:tcW w:type="dxa" w:w="5102"/>
            <w:shd w:val="clear" w:color="auto" w:fill="FFFFFF"/>
          </w:tcPr>
          <w:p>
            <w:pPr>
              <w:spacing w:before="120" w:after="120"/>
            </w:pPr>
            <w:r>
              <w:rPr>
                <w:rFonts w:ascii="Calibri" w:hAnsi="Calibri"/>
                <w:b w:val="0"/>
                <w:i w:val="0"/>
                <w:color w:val="2D2D2D"/>
                <w:sz w:val="18"/>
              </w:rPr>
              <w:t>Ergalis Feurs (banches/béton GO) + Minssieux Mornant (encadrement équipe) — coûts réels terrain</w:t>
            </w:r>
          </w:p>
        </w:tc>
      </w:tr>
      <w:tr>
        <w:tc>
          <w:tcPr>
            <w:tcW w:type="dxa" w:w="1701"/>
            <w:shd w:val="clear" w:color="auto" w:fill="5CC8C0"/>
          </w:tcPr>
          <w:p>
            <w:pPr>
              <w:spacing w:before="120" w:after="120"/>
              <w:jc w:val="center"/>
            </w:pPr>
            <w:r>
              <w:rPr>
                <w:rFonts w:ascii="Calibri" w:hAnsi="Calibri"/>
                <w:b/>
                <w:i w:val="0"/>
                <w:color w:val="FFFFFF"/>
                <w:sz w:val="17"/>
              </w:rPr>
              <w:t>2023-2024</w:t>
            </w:r>
          </w:p>
        </w:tc>
        <w:tc>
          <w:tcPr>
            <w:tcW w:type="dxa" w:w="2551"/>
            <w:shd w:val="clear" w:color="auto" w:fill="F0F4F8"/>
          </w:tcPr>
          <w:p>
            <w:pPr>
              <w:spacing w:before="120" w:after="40"/>
            </w:pPr>
            <w:r>
              <w:rPr>
                <w:rFonts w:ascii="Calibri" w:hAnsi="Calibri"/>
                <w:b/>
                <w:i w:val="0"/>
                <w:color w:val="1E3A5F"/>
                <w:sz w:val="19"/>
              </w:rPr>
              <w:t>Formation BIM – AFPA Colmar</w:t>
            </w:r>
          </w:p>
        </w:tc>
        <w:tc>
          <w:tcPr>
            <w:tcW w:type="dxa" w:w="5102"/>
            <w:shd w:val="clear" w:color="auto" w:fill="FFFFFF"/>
          </w:tcPr>
          <w:p>
            <w:pPr>
              <w:spacing w:before="120" w:after="120"/>
            </w:pPr>
            <w:r>
              <w:rPr>
                <w:rFonts w:ascii="Calibri" w:hAnsi="Calibri"/>
                <w:b w:val="0"/>
                <w:i w:val="0"/>
                <w:color w:val="2D2D2D"/>
                <w:sz w:val="18"/>
              </w:rPr>
              <w:t>Revit, Navisworks, Dynamo, C#/API, Python, IFC — 78 postes extraits, écart maquette/métré 1,8%</w:t>
            </w:r>
          </w:p>
        </w:tc>
      </w:tr>
      <w:tr>
        <w:tc>
          <w:tcPr>
            <w:tcW w:type="dxa" w:w="1701"/>
            <w:shd w:val="clear" w:color="auto" w:fill="F39200"/>
          </w:tcPr>
          <w:p>
            <w:pPr>
              <w:spacing w:before="120" w:after="120"/>
              <w:jc w:val="center"/>
            </w:pPr>
            <w:r>
              <w:rPr>
                <w:rFonts w:ascii="Calibri" w:hAnsi="Calibri"/>
                <w:b/>
                <w:i w:val="0"/>
                <w:color w:val="FFFFFF"/>
                <w:sz w:val="17"/>
              </w:rPr>
              <w:t>Depuis 2026</w:t>
            </w:r>
          </w:p>
        </w:tc>
        <w:tc>
          <w:tcPr>
            <w:tcW w:type="dxa" w:w="2551"/>
            <w:shd w:val="clear" w:color="auto" w:fill="F0F4F8"/>
          </w:tcPr>
          <w:p>
            <w:pPr>
              <w:spacing w:before="120" w:after="40"/>
            </w:pPr>
            <w:r>
              <w:rPr>
                <w:rFonts w:ascii="Calibri" w:hAnsi="Calibri"/>
                <w:b/>
                <w:i w:val="0"/>
                <w:color w:val="1E3A5F"/>
                <w:sz w:val="19"/>
              </w:rPr>
              <w:t>BIMCO – Indépendant</w:t>
            </w:r>
          </w:p>
        </w:tc>
        <w:tc>
          <w:tcPr>
            <w:tcW w:type="dxa" w:w="5102"/>
            <w:shd w:val="clear" w:color="auto" w:fill="FFFFFF"/>
          </w:tcPr>
          <w:p>
            <w:pPr>
              <w:spacing w:before="120" w:after="120"/>
            </w:pPr>
            <w:r>
              <w:rPr>
                <w:rFonts w:ascii="Calibri" w:hAnsi="Calibri"/>
                <w:b w:val="0"/>
                <w:i w:val="0"/>
                <w:color w:val="2D2D2D"/>
                <w:sz w:val="18"/>
              </w:rPr>
              <w:t>Modélisation 3D, métrés BIM + traditionnel, études de prix, plugins Revit/Dynamo — APE 7112B</w:t>
            </w:r>
          </w:p>
        </w:tc>
      </w:tr>
    </w:tbl>
    <w:p>
      <w:pPr>
        <w:spacing w:after="160"/>
      </w:pPr>
    </w:p>
    <w:tbl>
      <w:tblPr>
        <w:tblW w:type="auto" w:w="0"/>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5"/>
            <w:shd w:val="clear" w:color="auto" w:fill="F39200"/>
          </w:tcPr>
          <w:p>
            <w:pPr>
              <w:spacing w:before="80" w:after="80"/>
            </w:pPr>
            <w:r>
              <w:rPr>
                <w:rFonts w:ascii="Calibri" w:hAnsi="Calibri"/>
                <w:b/>
                <w:i w:val="0"/>
                <w:color w:val="FFFFFF"/>
                <w:sz w:val="20"/>
              </w:rPr>
              <w:t>PROJETS ANALYSÉS</w:t>
            </w:r>
          </w:p>
        </w:tc>
      </w:tr>
    </w:tbl>
    <w:p>
      <w:pPr>
        <w:spacing w:after="80"/>
      </w:pPr>
    </w:p>
    <w:p>
      <w:pPr>
        <w:spacing w:before="40" w:after="40"/>
        <w:ind w:left="283"/>
      </w:pPr>
      <w:r>
        <w:rPr>
          <w:rFonts w:ascii="Calibri" w:hAnsi="Calibri"/>
          <w:b/>
          <w:i w:val="0"/>
          <w:color w:val="F39200"/>
          <w:sz w:val="20"/>
        </w:rPr>
        <w:t xml:space="preserve">▸  </w:t>
      </w:r>
      <w:r>
        <w:rPr>
          <w:rFonts w:ascii="Calibri" w:hAnsi="Calibri"/>
          <w:b w:val="0"/>
          <w:i w:val="0"/>
          <w:color w:val="2D2D2D"/>
          <w:sz w:val="20"/>
        </w:rPr>
        <w:t>Projet 1 : Mise à niveau de 4 communes — 53,5 M DH TTC</w:t>
      </w:r>
    </w:p>
    <w:p>
      <w:pPr>
        <w:spacing w:before="40" w:after="40"/>
        <w:ind w:left="283"/>
      </w:pPr>
      <w:r>
        <w:rPr>
          <w:rFonts w:ascii="Calibri" w:hAnsi="Calibri"/>
          <w:b/>
          <w:i w:val="0"/>
          <w:color w:val="F39200"/>
          <w:sz w:val="20"/>
        </w:rPr>
        <w:t xml:space="preserve">▸  </w:t>
      </w:r>
      <w:r>
        <w:rPr>
          <w:rFonts w:ascii="Calibri" w:hAnsi="Calibri"/>
          <w:b w:val="0"/>
          <w:i w:val="0"/>
          <w:color w:val="2D2D2D"/>
          <w:sz w:val="20"/>
        </w:rPr>
        <w:t>Projet 2 : Route Lehri-Kerrouchen — 29 M DH TTC, 25 km</w:t>
      </w:r>
    </w:p>
    <w:tbl>
      <w:tblPr>
        <w:tblW w:type="auto" w:w="0"/>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5"/>
            <w:shd w:val="clear" w:color="auto" w:fill="5CC8C0"/>
          </w:tcPr>
          <w:p>
            <w:pPr>
              <w:spacing w:before="80" w:after="80"/>
            </w:pPr>
            <w:r>
              <w:rPr>
                <w:rFonts w:ascii="Calibri" w:hAnsi="Calibri"/>
                <w:b/>
                <w:i w:val="0"/>
                <w:color w:val="FFFFFF"/>
                <w:sz w:val="20"/>
              </w:rPr>
              <w:t>CHIFFRES CLÉS</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2339"/>
        <w:gridCol w:w="2339"/>
        <w:gridCol w:w="2339"/>
        <w:gridCol w:w="2339"/>
      </w:tblGrid>
      <w:tr>
        <w:tc>
          <w:tcPr>
            <w:tcW w:type="dxa" w:w="2339"/>
            <w:shd w:val="clear" w:color="auto" w:fill="F39200"/>
          </w:tcPr>
          <w:p>
            <w:pPr>
              <w:spacing w:before="160" w:after="80"/>
              <w:jc w:val="center"/>
            </w:pPr>
            <w:r>
              <w:rPr>
                <w:rFonts w:ascii="Calibri" w:hAnsi="Calibri"/>
                <w:b/>
                <w:i w:val="0"/>
                <w:color w:val="FFFFFF"/>
                <w:sz w:val="32"/>
              </w:rPr>
              <w:t>3,2%</w:t>
            </w:r>
          </w:p>
          <w:p>
            <w:pPr>
              <w:spacing w:before="0" w:after="160"/>
              <w:jc w:val="center"/>
            </w:pPr>
            <w:r>
              <w:rPr>
                <w:rFonts w:ascii="Calibri" w:hAnsi="Calibri"/>
                <w:b w:val="0"/>
                <w:i w:val="0"/>
                <w:color w:val="FFEECC"/>
                <w:sz w:val="16"/>
              </w:rPr>
              <w:t>écart estimation P1</w:t>
            </w:r>
          </w:p>
        </w:tc>
        <w:tc>
          <w:tcPr>
            <w:tcW w:type="dxa" w:w="2339"/>
            <w:shd w:val="clear" w:color="auto" w:fill="1E3A5F"/>
          </w:tcPr>
          <w:p>
            <w:pPr>
              <w:spacing w:before="160" w:after="80"/>
              <w:jc w:val="center"/>
            </w:pPr>
            <w:r>
              <w:rPr>
                <w:rFonts w:ascii="Calibri" w:hAnsi="Calibri"/>
                <w:b/>
                <w:i w:val="0"/>
                <w:color w:val="FFFFFF"/>
                <w:sz w:val="32"/>
              </w:rPr>
              <w:t>94/100</w:t>
            </w:r>
          </w:p>
          <w:p>
            <w:pPr>
              <w:spacing w:before="0" w:after="160"/>
              <w:jc w:val="center"/>
            </w:pPr>
            <w:r>
              <w:rPr>
                <w:rFonts w:ascii="Calibri" w:hAnsi="Calibri"/>
                <w:b w:val="0"/>
                <w:i w:val="0"/>
                <w:color w:val="FFEECC"/>
                <w:sz w:val="16"/>
              </w:rPr>
              <w:t>note CAO</w:t>
            </w:r>
          </w:p>
        </w:tc>
        <w:tc>
          <w:tcPr>
            <w:tcW w:type="dxa" w:w="2339"/>
            <w:shd w:val="clear" w:color="auto" w:fill="5CC8C0"/>
          </w:tcPr>
          <w:p>
            <w:pPr>
              <w:spacing w:before="160" w:after="80"/>
              <w:jc w:val="center"/>
            </w:pPr>
            <w:r>
              <w:rPr>
                <w:rFonts w:ascii="Calibri" w:hAnsi="Calibri"/>
                <w:b/>
                <w:i w:val="0"/>
                <w:color w:val="FFFFFF"/>
                <w:sz w:val="32"/>
              </w:rPr>
              <w:t>+0,8%</w:t>
            </w:r>
          </w:p>
          <w:p>
            <w:pPr>
              <w:spacing w:before="0" w:after="160"/>
              <w:jc w:val="center"/>
            </w:pPr>
            <w:r>
              <w:rPr>
                <w:rFonts w:ascii="Calibri" w:hAnsi="Calibri"/>
                <w:b w:val="0"/>
                <w:i w:val="0"/>
                <w:color w:val="FFEECC"/>
                <w:sz w:val="16"/>
              </w:rPr>
              <w:t>dépassement maîtrisé</w:t>
            </w:r>
          </w:p>
        </w:tc>
        <w:tc>
          <w:tcPr>
            <w:tcW w:type="dxa" w:w="2339"/>
            <w:shd w:val="clear" w:color="auto" w:fill="C0392B"/>
          </w:tcPr>
          <w:p>
            <w:pPr>
              <w:spacing w:before="160" w:after="80"/>
              <w:jc w:val="center"/>
            </w:pPr>
            <w:r>
              <w:rPr>
                <w:rFonts w:ascii="Calibri" w:hAnsi="Calibri"/>
                <w:b/>
                <w:i w:val="0"/>
                <w:color w:val="FFFFFF"/>
                <w:sz w:val="32"/>
              </w:rPr>
              <w:t>0 avt</w:t>
            </w:r>
          </w:p>
          <w:p>
            <w:pPr>
              <w:spacing w:before="0" w:after="160"/>
              <w:jc w:val="center"/>
            </w:pPr>
            <w:r>
              <w:rPr>
                <w:rFonts w:ascii="Calibri" w:hAnsi="Calibri"/>
                <w:b w:val="0"/>
                <w:i w:val="0"/>
                <w:color w:val="FFEECC"/>
                <w:sz w:val="16"/>
              </w:rPr>
              <w:t>avenant cubatures</w:t>
            </w:r>
          </w:p>
        </w:tc>
      </w:tr>
    </w:tbl>
    <w:p>
      <w:pPr>
        <w:spacing w:after="120"/>
      </w:pPr>
    </w:p>
    <w:p>
      <w:r>
        <w:b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4"/>
            <w:shd w:val="clear" w:color="auto" w:fill="0F1B2D"/>
          </w:tcPr>
          <w:p>
            <w:pPr>
              <w:spacing w:before="160" w:after="160"/>
              <w:jc w:val="left"/>
            </w:pPr>
            <w:r>
              <w:rPr>
                <w:rFonts w:ascii="Calibri" w:hAnsi="Calibri"/>
                <w:b/>
                <w:i w:val="0"/>
                <w:color w:val="FFFFFF"/>
                <w:sz w:val="32"/>
              </w:rPr>
              <w:t>01 — CADRE PROFESSIONNEL</w:t>
            </w:r>
          </w:p>
          <w:p>
            <w:pPr>
              <w:spacing w:before="40" w:after="120"/>
              <w:jc w:val="left"/>
            </w:pPr>
            <w:r>
              <w:rPr>
                <w:rFonts w:ascii="Calibri" w:hAnsi="Calibri"/>
                <w:b w:val="0"/>
                <w:i w:val="0"/>
                <w:color w:val="CCE5F5"/>
                <w:sz w:val="18"/>
              </w:rPr>
              <w:t>Le Conseil Régional de Béni Mellal-Khénifra | BIMCO</w:t>
            </w:r>
          </w:p>
        </w:tc>
      </w:tr>
    </w:tbl>
    <w:p/>
    <w:p>
      <w:pPr>
        <w:spacing w:before="360" w:after="120"/>
      </w:pPr>
      <w:r>
        <w:rPr>
          <w:rFonts w:ascii="Calibri" w:hAnsi="Calibri"/>
          <w:b/>
          <w:i w:val="0"/>
          <w:color w:val="2E86C1"/>
          <w:sz w:val="26"/>
        </w:rPr>
        <w:t>1.1 Conseil Régional de Béni Mellal-Khénifra</w:t>
      </w:r>
    </w:p>
    <w:p>
      <w:pPr>
        <w:spacing w:before="0" w:after="120"/>
        <w:jc w:val="both"/>
      </w:pPr>
      <w:r>
        <w:rPr>
          <w:rFonts w:ascii="Calibri" w:hAnsi="Calibri"/>
          <w:b w:val="0"/>
          <w:i w:val="0"/>
          <w:color w:val="2D2D2D"/>
          <w:sz w:val="21"/>
        </w:rPr>
        <w:t>Collectivité territoriale créée dans le cadre du découpage régional de 2015, le Conseil Régional de Béni Mellal-Khénifra couvre cinq provinces (Béni Mellal, Azilal, Fquih Ben Salah, Khénifra et Khouribga) sur 28 374 km² pour 2,5 millions d'habitants. L'Agence d'Exécution des Projets, dirigée par M. Abdelaaziz DOGHMANI, assure la maîtrise d'ouvrage de l'ensemble des infrastructures régionales : routes rurales, voirie urbaine, adduction d'eau potable et équipements collectifs. L'ensemble des marchés de travaux est régi par le Décret n°2-12-349 du 20 mars 2013 relatif aux marchés publics — appel d'offres ouvert au-dessus de 500 000 DH, pièces constitutives obligatoires : CPS, RC, BPDE, plans et estimation confidentielle.</w:t>
      </w:r>
    </w:p>
    <w:p>
      <w:pPr>
        <w:spacing w:before="40" w:after="40"/>
        <w:ind w:left="283"/>
      </w:pPr>
      <w:r>
        <w:rPr>
          <w:rFonts w:ascii="Calibri" w:hAnsi="Calibri"/>
          <w:b/>
          <w:i w:val="0"/>
          <w:color w:val="F39200"/>
          <w:sz w:val="20"/>
        </w:rPr>
        <w:t xml:space="preserve">▸  </w:t>
      </w:r>
      <w:r>
        <w:rPr>
          <w:rFonts w:ascii="Calibri" w:hAnsi="Calibri"/>
          <w:b w:val="0"/>
          <w:i w:val="0"/>
          <w:color w:val="2D2D2D"/>
          <w:sz w:val="20"/>
        </w:rPr>
        <w:t>5 Provinces : Béni Mellal, Azilal, Fquih Ben Salah, Khénifra, Khouribga</w:t>
      </w:r>
    </w:p>
    <w:p>
      <w:pPr>
        <w:spacing w:before="40" w:after="40"/>
        <w:ind w:left="283"/>
      </w:pPr>
      <w:r>
        <w:rPr>
          <w:rFonts w:ascii="Calibri" w:hAnsi="Calibri"/>
          <w:b/>
          <w:i w:val="0"/>
          <w:color w:val="F39200"/>
          <w:sz w:val="20"/>
        </w:rPr>
        <w:t xml:space="preserve">▸  </w:t>
      </w:r>
      <w:r>
        <w:rPr>
          <w:rFonts w:ascii="Calibri" w:hAnsi="Calibri"/>
          <w:b w:val="0"/>
          <w:i w:val="0"/>
          <w:color w:val="2D2D2D"/>
          <w:sz w:val="20"/>
        </w:rPr>
        <w:t>28 374 km² : Superficie de la région | 2,5 millions d'habitants</w:t>
      </w:r>
    </w:p>
    <w:p>
      <w:pPr>
        <w:spacing w:before="40" w:after="40"/>
        <w:ind w:left="283"/>
      </w:pPr>
      <w:r>
        <w:rPr>
          <w:rFonts w:ascii="Calibri" w:hAnsi="Calibri"/>
          <w:b/>
          <w:i w:val="0"/>
          <w:color w:val="F39200"/>
          <w:sz w:val="20"/>
        </w:rPr>
        <w:t xml:space="preserve">▸  </w:t>
      </w:r>
      <w:r>
        <w:rPr>
          <w:rFonts w:ascii="Calibri" w:hAnsi="Calibri"/>
          <w:b w:val="0"/>
          <w:i w:val="0"/>
          <w:color w:val="2D2D2D"/>
          <w:sz w:val="20"/>
        </w:rPr>
        <w:t>Compétences : Routes, aménagement urbain/rural, AEP, équipements publics</w:t>
      </w:r>
    </w:p>
    <w:p>
      <w:pPr>
        <w:spacing w:before="40" w:after="40"/>
        <w:ind w:left="283"/>
      </w:pPr>
      <w:r>
        <w:rPr>
          <w:rFonts w:ascii="Calibri" w:hAnsi="Calibri"/>
          <w:b/>
          <w:i w:val="0"/>
          <w:color w:val="F39200"/>
          <w:sz w:val="20"/>
        </w:rPr>
        <w:t xml:space="preserve">▸  </w:t>
      </w:r>
      <w:r>
        <w:rPr>
          <w:rFonts w:ascii="Calibri" w:hAnsi="Calibri"/>
          <w:b w:val="0"/>
          <w:i w:val="0"/>
          <w:color w:val="2D2D2D"/>
          <w:sz w:val="20"/>
        </w:rPr>
        <w:t>Décret n°2-12-349 : Cadre réglementaire des marchés publics marocains</w:t>
      </w:r>
    </w:p>
    <w:tbl>
      <w:tblPr>
        <w:tblW w:type="auto" w:w="0"/>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5"/>
            <w:shd w:val="clear" w:color="auto" w:fill="1E3A5F"/>
          </w:tcPr>
          <w:p>
            <w:pPr>
              <w:spacing w:before="80" w:after="80"/>
            </w:pPr>
            <w:r>
              <w:rPr>
                <w:rFonts w:ascii="Calibri" w:hAnsi="Calibri"/>
                <w:b/>
                <w:i w:val="0"/>
                <w:color w:val="FFFFFF"/>
                <w:sz w:val="20"/>
              </w:rPr>
              <w:t>MISSIONS EN TANT QUE TECHNICIEN DE SUIVI</w:t>
            </w:r>
          </w:p>
        </w:tc>
      </w:tr>
    </w:tbl>
    <w:p>
      <w:pPr>
        <w:spacing w:after="80"/>
      </w:pPr>
    </w:p>
    <w:p>
      <w:pPr>
        <w:spacing w:before="40" w:after="40"/>
        <w:ind w:left="283"/>
      </w:pPr>
      <w:r>
        <w:rPr>
          <w:rFonts w:ascii="Calibri" w:hAnsi="Calibri"/>
          <w:b/>
          <w:i w:val="0"/>
          <w:color w:val="F39200"/>
          <w:sz w:val="20"/>
        </w:rPr>
        <w:t xml:space="preserve">▸  </w:t>
      </w:r>
      <w:r>
        <w:rPr>
          <w:rFonts w:ascii="Calibri" w:hAnsi="Calibri"/>
          <w:b w:val="0"/>
          <w:i w:val="0"/>
          <w:color w:val="2D2D2D"/>
          <w:sz w:val="20"/>
        </w:rPr>
        <w:t>Métrés avant-projet (112 à 448 prix/commune) et estimation confidentielle de l'administration avant chaque AO — référence pour l'analyse des offres</w:t>
      </w:r>
    </w:p>
    <w:p>
      <w:pPr>
        <w:spacing w:before="40" w:after="40"/>
        <w:ind w:left="283"/>
      </w:pPr>
      <w:r>
        <w:rPr>
          <w:rFonts w:ascii="Calibri" w:hAnsi="Calibri"/>
          <w:b/>
          <w:i w:val="0"/>
          <w:color w:val="F39200"/>
          <w:sz w:val="20"/>
        </w:rPr>
        <w:t xml:space="preserve">▸  </w:t>
      </w:r>
      <w:r>
        <w:rPr>
          <w:rFonts w:ascii="Calibri" w:hAnsi="Calibri"/>
          <w:b w:val="0"/>
          <w:i w:val="0"/>
          <w:color w:val="2D2D2D"/>
          <w:sz w:val="20"/>
        </w:rPr>
        <w:t>Rédaction des DCE : CPS, RC, BPDE avec vérification de cohérence des pièces écrites et des plans — zéro erreur contestée en commission</w:t>
      </w:r>
    </w:p>
    <w:p>
      <w:pPr>
        <w:spacing w:before="40" w:after="40"/>
        <w:ind w:left="283"/>
      </w:pPr>
      <w:r>
        <w:rPr>
          <w:rFonts w:ascii="Calibri" w:hAnsi="Calibri"/>
          <w:b/>
          <w:i w:val="0"/>
          <w:color w:val="F39200"/>
          <w:sz w:val="20"/>
        </w:rPr>
        <w:t xml:space="preserve">▸  </w:t>
      </w:r>
      <w:r>
        <w:rPr>
          <w:rFonts w:ascii="Calibri" w:hAnsi="Calibri"/>
          <w:b w:val="0"/>
          <w:i w:val="0"/>
          <w:color w:val="2D2D2D"/>
          <w:sz w:val="20"/>
        </w:rPr>
        <w:t>Analyse des offres en CAO : grille de notation /100 (technique 60 pts + financier 40 pts), rapport d'analyse, procès-verbal de séance</w:t>
      </w:r>
    </w:p>
    <w:p>
      <w:pPr>
        <w:spacing w:before="40" w:after="40"/>
        <w:ind w:left="283"/>
      </w:pPr>
      <w:r>
        <w:rPr>
          <w:rFonts w:ascii="Calibri" w:hAnsi="Calibri"/>
          <w:b/>
          <w:i w:val="0"/>
          <w:color w:val="F39200"/>
          <w:sz w:val="20"/>
        </w:rPr>
        <w:t xml:space="preserve">▸  </w:t>
      </w:r>
      <w:r>
        <w:rPr>
          <w:rFonts w:ascii="Calibri" w:hAnsi="Calibri"/>
          <w:b w:val="0"/>
          <w:i w:val="0"/>
          <w:color w:val="2D2D2D"/>
          <w:sz w:val="20"/>
        </w:rPr>
        <w:t>Suivi financier mensuel : tableau de bord à 3 indicateurs, vérification des situations mensuelles, décomptes provisoires et définitifs</w:t>
      </w:r>
    </w:p>
    <w:p>
      <w:pPr>
        <w:spacing w:before="40" w:after="40"/>
        <w:ind w:left="283"/>
      </w:pPr>
      <w:r>
        <w:rPr>
          <w:rFonts w:ascii="Calibri" w:hAnsi="Calibri"/>
          <w:b/>
          <w:i w:val="0"/>
          <w:color w:val="F39200"/>
          <w:sz w:val="20"/>
        </w:rPr>
        <w:t xml:space="preserve">▸  </w:t>
      </w:r>
      <w:r>
        <w:rPr>
          <w:rFonts w:ascii="Calibri" w:hAnsi="Calibri"/>
          <w:b w:val="0"/>
          <w:i w:val="0"/>
          <w:color w:val="2D2D2D"/>
          <w:sz w:val="20"/>
        </w:rPr>
        <w:t>Visites hebdomadaires, attachements contradictoires, ordres de service d'arrêt/reprise, procès-verbaux de réception provisoire et définitive</w:t>
      </w:r>
    </w:p>
    <w:p>
      <w:pPr>
        <w:spacing w:before="360" w:after="120"/>
      </w:pPr>
      <w:r>
        <w:rPr>
          <w:rFonts w:ascii="Calibri" w:hAnsi="Calibri"/>
          <w:b/>
          <w:i w:val="0"/>
          <w:color w:val="2E86C1"/>
          <w:sz w:val="26"/>
        </w:rPr>
        <w:t>1.2 BIMCO — Mon activité indépendante</w:t>
      </w:r>
    </w:p>
    <w:p>
      <w:pPr>
        <w:spacing w:before="0" w:after="120"/>
        <w:jc w:val="both"/>
      </w:pPr>
      <w:r>
        <w:rPr>
          <w:rFonts w:ascii="Calibri" w:hAnsi="Calibri"/>
          <w:b w:val="0"/>
          <w:i w:val="0"/>
          <w:color w:val="2D2D2D"/>
          <w:sz w:val="21"/>
        </w:rPr>
        <w:t>BIMCO a été créé le 9 janvier 2026 (SIREN 999580053, APE 7112B — Ingénierie, études techniques) à Bussières (Loire). Le nom reflète le positionnement à la croisée du BIM (Building Information Modeling) et de l'économie de la COnstruction. BIMCO comble un vide réel : les outils BIM sont conçus pour les architectes et ingénieurs — très peu d'économistes de la construction maîtrisent le BIM et le développement d'outils numériques. BIMCO apporte la rigueur de l'économiste terrain avec les outils du BIM.</w:t>
      </w:r>
    </w:p>
    <w:tbl>
      <w:tblPr>
        <w:tblW w:type="auto" w:w="0"/>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5"/>
            <w:shd w:val="clear" w:color="auto" w:fill="F39200"/>
          </w:tcPr>
          <w:p>
            <w:pPr>
              <w:spacing w:before="80" w:after="80"/>
            </w:pPr>
            <w:r>
              <w:rPr>
                <w:rFonts w:ascii="Calibri" w:hAnsi="Calibri"/>
                <w:b/>
                <w:i w:val="0"/>
                <w:color w:val="FFFFFF"/>
                <w:sz w:val="20"/>
              </w:rPr>
              <w:t>DOMAINES D'INTERVENTION</w:t>
            </w:r>
          </w:p>
        </w:tc>
      </w:tr>
    </w:tbl>
    <w:p>
      <w:pPr>
        <w:spacing w:after="80"/>
      </w:pPr>
    </w:p>
    <w:p>
      <w:pPr>
        <w:spacing w:before="40" w:after="40"/>
        <w:ind w:left="283"/>
      </w:pPr>
      <w:r>
        <w:rPr>
          <w:rFonts w:ascii="Calibri" w:hAnsi="Calibri"/>
          <w:b/>
          <w:i w:val="0"/>
          <w:color w:val="F39200"/>
          <w:sz w:val="20"/>
        </w:rPr>
        <w:t xml:space="preserve">▸  </w:t>
      </w:r>
      <w:r>
        <w:rPr>
          <w:rFonts w:ascii="Calibri" w:hAnsi="Calibri"/>
          <w:b w:val="0"/>
          <w:i w:val="0"/>
          <w:color w:val="2D2D2D"/>
          <w:sz w:val="20"/>
        </w:rPr>
        <w:t>Projeteur BIM : Revit Architecture + Structure, Navisworks, IFC 2x3, Dynamo</w:t>
      </w:r>
    </w:p>
    <w:p>
      <w:pPr>
        <w:spacing w:before="40" w:after="40"/>
        <w:ind w:left="283"/>
      </w:pPr>
      <w:r>
        <w:rPr>
          <w:rFonts w:ascii="Calibri" w:hAnsi="Calibri"/>
          <w:b/>
          <w:i w:val="0"/>
          <w:color w:val="F39200"/>
          <w:sz w:val="20"/>
        </w:rPr>
        <w:t xml:space="preserve">▸  </w:t>
      </w:r>
      <w:r>
        <w:rPr>
          <w:rFonts w:ascii="Calibri" w:hAnsi="Calibri"/>
          <w:b w:val="0"/>
          <w:i w:val="0"/>
          <w:color w:val="2D2D2D"/>
          <w:sz w:val="20"/>
        </w:rPr>
        <w:t>Métrés tous corps d'état : Extraction BIM (nomenclatures Revit) + métré traditionnel sur plans</w:t>
      </w:r>
    </w:p>
    <w:p>
      <w:pPr>
        <w:spacing w:before="40" w:after="40"/>
        <w:ind w:left="283"/>
      </w:pPr>
      <w:r>
        <w:rPr>
          <w:rFonts w:ascii="Calibri" w:hAnsi="Calibri"/>
          <w:b/>
          <w:i w:val="0"/>
          <w:color w:val="F39200"/>
          <w:sz w:val="20"/>
        </w:rPr>
        <w:t xml:space="preserve">▸  </w:t>
      </w:r>
      <w:r>
        <w:rPr>
          <w:rFonts w:ascii="Calibri" w:hAnsi="Calibri"/>
          <w:b w:val="0"/>
          <w:i w:val="0"/>
          <w:color w:val="2D2D2D"/>
          <w:sz w:val="20"/>
        </w:rPr>
        <w:t>Études de prix : Estimations confidentielles, DPGF, sous-détails de prix, bordereau</w:t>
      </w:r>
    </w:p>
    <w:p>
      <w:pPr>
        <w:spacing w:before="40" w:after="40"/>
        <w:ind w:left="283"/>
      </w:pPr>
      <w:r>
        <w:rPr>
          <w:rFonts w:ascii="Calibri" w:hAnsi="Calibri"/>
          <w:b/>
          <w:i w:val="0"/>
          <w:color w:val="F39200"/>
          <w:sz w:val="20"/>
        </w:rPr>
        <w:t xml:space="preserve">▸  </w:t>
      </w:r>
      <w:r>
        <w:rPr>
          <w:rFonts w:ascii="Calibri" w:hAnsi="Calibri"/>
          <w:b w:val="0"/>
          <w:i w:val="0"/>
          <w:color w:val="2D2D2D"/>
          <w:sz w:val="20"/>
        </w:rPr>
        <w:t>Outils numériques : Python (automatisation), C# (plugins Revit), Apps web (React/Node)</w:t>
      </w:r>
    </w:p>
    <w:p>
      <w:pPr>
        <w:spacing w:before="40" w:after="40"/>
        <w:ind w:left="283"/>
      </w:pPr>
      <w:r>
        <w:rPr>
          <w:rFonts w:ascii="Calibri" w:hAnsi="Calibri"/>
          <w:b/>
          <w:i w:val="0"/>
          <w:color w:val="F39200"/>
          <w:sz w:val="20"/>
        </w:rPr>
        <w:t xml:space="preserve">▸  </w:t>
      </w:r>
      <w:r>
        <w:rPr>
          <w:rFonts w:ascii="Calibri" w:hAnsi="Calibri"/>
          <w:b w:val="0"/>
          <w:i w:val="0"/>
          <w:color w:val="2D2D2D"/>
          <w:sz w:val="20"/>
        </w:rPr>
        <w:t>Suivi économique : Tableau de bord, situations de travaux, décomptes, révision de prix</w:t>
      </w:r>
    </w:p>
    <w:p>
      <w:pPr>
        <w:spacing w:before="0" w:after="80"/>
        <w:jc w:val="both"/>
      </w:pPr>
      <w:r>
        <w:rPr>
          <w:rFonts w:ascii="Calibri" w:hAnsi="Calibri"/>
          <w:b w:val="0"/>
          <w:i w:val="0"/>
          <w:color w:val="2E86C1"/>
          <w:sz w:val="18"/>
        </w:rPr>
        <w:t>Application phare : Application « Gestion Chantiers » — gestion.bimco-consulting.fr — Stack : React/TypeScript | Node.js | PostgreSQL | Docker | Vercel</w:t>
      </w:r>
    </w:p>
    <w:p>
      <w:r>
        <w:b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4"/>
            <w:shd w:val="clear" w:color="auto" w:fill="F39200"/>
          </w:tcPr>
          <w:p>
            <w:pPr>
              <w:spacing w:before="160" w:after="160"/>
              <w:jc w:val="left"/>
            </w:pPr>
            <w:r>
              <w:rPr>
                <w:rFonts w:ascii="Calibri" w:hAnsi="Calibri"/>
                <w:b/>
                <w:i w:val="0"/>
                <w:color w:val="FFFFFF"/>
                <w:sz w:val="32"/>
              </w:rPr>
              <w:t>02 — PROJET 1 : MISE À NIVEAU DE 4 COMMUNES</w:t>
            </w:r>
          </w:p>
          <w:p>
            <w:pPr>
              <w:spacing w:before="40" w:after="120"/>
              <w:jc w:val="left"/>
            </w:pPr>
            <w:r>
              <w:rPr>
                <w:rFonts w:ascii="Calibri" w:hAnsi="Calibri"/>
                <w:b w:val="0"/>
                <w:i w:val="0"/>
                <w:color w:val="CCE5F5"/>
                <w:sz w:val="18"/>
              </w:rPr>
              <w:t>53,5 M DH TTC — 8 corps d'état — Province de Khénifra</w:t>
            </w:r>
          </w:p>
        </w:tc>
      </w:tr>
    </w:tbl>
    <w:p/>
    <w:p>
      <w:pPr>
        <w:spacing w:before="360" w:after="120"/>
      </w:pPr>
      <w:r>
        <w:rPr>
          <w:rFonts w:ascii="Calibri" w:hAnsi="Calibri"/>
          <w:b/>
          <w:i w:val="0"/>
          <w:color w:val="2E86C1"/>
          <w:sz w:val="26"/>
        </w:rPr>
        <w:t>2.1 Fiche d'identité du projet</w:t>
      </w:r>
    </w:p>
    <w:p>
      <w:pPr>
        <w:spacing w:before="0" w:after="120"/>
        <w:jc w:val="both"/>
      </w:pPr>
      <w:r>
        <w:rPr>
          <w:rFonts w:ascii="Calibri" w:hAnsi="Calibri"/>
          <w:b w:val="0"/>
          <w:i w:val="0"/>
          <w:color w:val="2D2D2D"/>
          <w:sz w:val="21"/>
        </w:rPr>
        <w:t>Le marché n°38-RBK-2017 (Lot 4) avait pour objectif la mise à niveau des centres de quatre communes rurales de la province de Khénifra. Ce programme d'aménagement urbain et VRD de 53,5 M DH TTC couvre huit corps d'état distincts — de l'assainissement à l'éclairage public — sur quatre sites géographiquement dispersés de 20 à 80 km.</w:t>
      </w:r>
    </w:p>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3118"/>
            <w:shd w:val="clear" w:color="auto" w:fill="F0F4F8"/>
          </w:tcPr>
          <w:p>
            <w:pPr>
              <w:spacing w:before="80" w:after="80"/>
            </w:pPr>
            <w:r>
              <w:rPr>
                <w:rFonts w:ascii="Calibri" w:hAnsi="Calibri"/>
                <w:b/>
                <w:i w:val="0"/>
                <w:color w:val="1E3A5F"/>
                <w:sz w:val="19"/>
              </w:rPr>
              <w:t>Marché</w:t>
            </w:r>
          </w:p>
        </w:tc>
        <w:tc>
          <w:tcPr>
            <w:tcW w:type="dxa" w:w="6236"/>
            <w:shd w:val="clear" w:color="auto" w:fill="F0F4F8"/>
          </w:tcPr>
          <w:p>
            <w:pPr>
              <w:spacing w:before="80" w:after="80"/>
            </w:pPr>
            <w:r>
              <w:rPr>
                <w:rFonts w:ascii="Calibri" w:hAnsi="Calibri"/>
                <w:b w:val="0"/>
                <w:i w:val="0"/>
                <w:color w:val="2D2D2D"/>
                <w:sz w:val="19"/>
              </w:rPr>
              <w:t>n°38-RBK-2017 (Lot 4)</w:t>
            </w:r>
          </w:p>
        </w:tc>
      </w:tr>
      <w:tr>
        <w:tc>
          <w:tcPr>
            <w:tcW w:type="dxa" w:w="3118"/>
            <w:shd w:val="clear" w:color="auto" w:fill="FFFFFF"/>
          </w:tcPr>
          <w:p>
            <w:pPr>
              <w:spacing w:before="80" w:after="80"/>
            </w:pPr>
            <w:r>
              <w:rPr>
                <w:rFonts w:ascii="Calibri" w:hAnsi="Calibri"/>
                <w:b/>
                <w:i w:val="0"/>
                <w:color w:val="1E3A5F"/>
                <w:sz w:val="19"/>
              </w:rPr>
              <w:t>Maître d'ouvrage</w:t>
            </w:r>
          </w:p>
        </w:tc>
        <w:tc>
          <w:tcPr>
            <w:tcW w:type="dxa" w:w="6236"/>
            <w:shd w:val="clear" w:color="auto" w:fill="FFFFFF"/>
          </w:tcPr>
          <w:p>
            <w:pPr>
              <w:spacing w:before="80" w:after="80"/>
            </w:pPr>
            <w:r>
              <w:rPr>
                <w:rFonts w:ascii="Calibri" w:hAnsi="Calibri"/>
                <w:b w:val="0"/>
                <w:i w:val="0"/>
                <w:color w:val="2D2D2D"/>
                <w:sz w:val="19"/>
              </w:rPr>
              <w:t>Conseil Régional BMK</w:t>
            </w:r>
          </w:p>
        </w:tc>
      </w:tr>
      <w:tr>
        <w:tc>
          <w:tcPr>
            <w:tcW w:type="dxa" w:w="3118"/>
            <w:shd w:val="clear" w:color="auto" w:fill="F0F4F8"/>
          </w:tcPr>
          <w:p>
            <w:pPr>
              <w:spacing w:before="80" w:after="80"/>
            </w:pPr>
            <w:r>
              <w:rPr>
                <w:rFonts w:ascii="Calibri" w:hAnsi="Calibri"/>
                <w:b/>
                <w:i w:val="0"/>
                <w:color w:val="1E3A5F"/>
                <w:sz w:val="19"/>
              </w:rPr>
              <w:t>Localisation</w:t>
            </w:r>
          </w:p>
        </w:tc>
        <w:tc>
          <w:tcPr>
            <w:tcW w:type="dxa" w:w="6236"/>
            <w:shd w:val="clear" w:color="auto" w:fill="F0F4F8"/>
          </w:tcPr>
          <w:p>
            <w:pPr>
              <w:spacing w:before="80" w:after="80"/>
            </w:pPr>
            <w:r>
              <w:rPr>
                <w:rFonts w:ascii="Calibri" w:hAnsi="Calibri"/>
                <w:b w:val="0"/>
                <w:i w:val="0"/>
                <w:color w:val="2D2D2D"/>
                <w:sz w:val="19"/>
              </w:rPr>
              <w:t>Province de Khénifra</w:t>
            </w:r>
          </w:p>
        </w:tc>
      </w:tr>
      <w:tr>
        <w:tc>
          <w:tcPr>
            <w:tcW w:type="dxa" w:w="3118"/>
            <w:shd w:val="clear" w:color="auto" w:fill="FFFFFF"/>
          </w:tcPr>
          <w:p>
            <w:pPr>
              <w:spacing w:before="80" w:after="80"/>
            </w:pPr>
            <w:r>
              <w:rPr>
                <w:rFonts w:ascii="Calibri" w:hAnsi="Calibri"/>
                <w:b/>
                <w:i w:val="0"/>
                <w:color w:val="1E3A5F"/>
                <w:sz w:val="19"/>
              </w:rPr>
              <w:t>4 communes</w:t>
            </w:r>
          </w:p>
        </w:tc>
        <w:tc>
          <w:tcPr>
            <w:tcW w:type="dxa" w:w="6236"/>
            <w:shd w:val="clear" w:color="auto" w:fill="FFFFFF"/>
          </w:tcPr>
          <w:p>
            <w:pPr>
              <w:spacing w:before="80" w:after="80"/>
            </w:pPr>
            <w:r>
              <w:rPr>
                <w:rFonts w:ascii="Calibri" w:hAnsi="Calibri"/>
                <w:b w:val="0"/>
                <w:i w:val="0"/>
                <w:color w:val="2D2D2D"/>
                <w:sz w:val="19"/>
              </w:rPr>
              <w:t>El Hammam, Kerrouchen,, Ouaoumana, Sebt Ait Rahou</w:t>
            </w:r>
          </w:p>
        </w:tc>
      </w:tr>
      <w:tr>
        <w:tc>
          <w:tcPr>
            <w:tcW w:type="dxa" w:w="3118"/>
            <w:shd w:val="clear" w:color="auto" w:fill="F0F4F8"/>
          </w:tcPr>
          <w:p>
            <w:pPr>
              <w:spacing w:before="80" w:after="80"/>
            </w:pPr>
            <w:r>
              <w:rPr>
                <w:rFonts w:ascii="Calibri" w:hAnsi="Calibri"/>
                <w:b/>
                <w:i w:val="0"/>
                <w:color w:val="1E3A5F"/>
                <w:sz w:val="19"/>
              </w:rPr>
              <w:t>Nature</w:t>
            </w:r>
          </w:p>
        </w:tc>
        <w:tc>
          <w:tcPr>
            <w:tcW w:type="dxa" w:w="6236"/>
            <w:shd w:val="clear" w:color="auto" w:fill="F0F4F8"/>
          </w:tcPr>
          <w:p>
            <w:pPr>
              <w:spacing w:before="80" w:after="80"/>
            </w:pPr>
            <w:r>
              <w:rPr>
                <w:rFonts w:ascii="Calibri" w:hAnsi="Calibri"/>
                <w:b w:val="0"/>
                <w:i w:val="0"/>
                <w:color w:val="2D2D2D"/>
                <w:sz w:val="19"/>
              </w:rPr>
              <w:t>Aménagement urbain - VRD</w:t>
            </w:r>
          </w:p>
        </w:tc>
      </w:tr>
      <w:tr>
        <w:tc>
          <w:tcPr>
            <w:tcW w:type="dxa" w:w="3118"/>
            <w:shd w:val="clear" w:color="auto" w:fill="FFFFFF"/>
          </w:tcPr>
          <w:p>
            <w:pPr>
              <w:spacing w:before="80" w:after="80"/>
            </w:pPr>
            <w:r>
              <w:rPr>
                <w:rFonts w:ascii="Calibri" w:hAnsi="Calibri"/>
                <w:b/>
                <w:i w:val="0"/>
                <w:color w:val="1E3A5F"/>
                <w:sz w:val="19"/>
              </w:rPr>
              <w:t>8 parties</w:t>
            </w:r>
          </w:p>
        </w:tc>
        <w:tc>
          <w:tcPr>
            <w:tcW w:type="dxa" w:w="6236"/>
            <w:shd w:val="clear" w:color="auto" w:fill="FFFFFF"/>
          </w:tcPr>
          <w:p>
            <w:pPr>
              <w:spacing w:before="80" w:after="80"/>
            </w:pPr>
            <w:r>
              <w:rPr>
                <w:rFonts w:ascii="Calibri" w:hAnsi="Calibri"/>
                <w:b w:val="0"/>
                <w:i w:val="0"/>
                <w:color w:val="2D2D2D"/>
                <w:sz w:val="19"/>
              </w:rPr>
              <w:t>Assainissement, chaussée, trottoirs,, signalisation, éclairage, murs,, paysager, mobilier urbain</w:t>
            </w:r>
          </w:p>
        </w:tc>
      </w:tr>
    </w:tbl>
    <w:p>
      <w:pPr>
        <w:spacing w:after="120"/>
      </w:pPr>
    </w:p>
    <w:p>
      <w:pPr>
        <w:spacing w:before="360" w:after="120"/>
      </w:pPr>
      <w:r>
        <w:rPr>
          <w:rFonts w:ascii="Calibri" w:hAnsi="Calibri"/>
          <w:b/>
          <w:i w:val="0"/>
          <w:color w:val="2E86C1"/>
          <w:sz w:val="24"/>
        </w:rPr>
        <w:t>2.2 Budget et répartition par commune</w:t>
      </w:r>
    </w:p>
    <w:tbl>
      <w:tblPr>
        <w:tblW w:type="auto" w:w="0"/>
        <w:tblLook w:firstColumn="1" w:firstRow="1" w:lastColumn="0" w:lastRow="0" w:noHBand="0" w:noVBand="1" w:val="04A0"/>
        <w:tblBorders>
          <w:top w:val="none"/>
          <w:left w:val="none"/>
          <w:bottom w:val="none"/>
          <w:right w:val="none"/>
          <w:insideH w:val="none"/>
          <w:insideV w:val="none"/>
        </w:tblBorders>
      </w:tblPr>
      <w:tblGrid>
        <w:gridCol w:w="2339"/>
        <w:gridCol w:w="2339"/>
        <w:gridCol w:w="2339"/>
        <w:gridCol w:w="2339"/>
      </w:tblGrid>
      <w:tr>
        <w:tc>
          <w:tcPr>
            <w:tcW w:type="dxa" w:w="2551"/>
            <w:shd w:val="clear" w:color="auto" w:fill="1E3A5F"/>
          </w:tcPr>
          <w:p>
            <w:pPr>
              <w:spacing w:before="80" w:after="80"/>
              <w:jc w:val="center"/>
            </w:pPr>
            <w:r>
              <w:rPr>
                <w:rFonts w:ascii="Calibri" w:hAnsi="Calibri"/>
                <w:b/>
                <w:i w:val="0"/>
                <w:color w:val="FFFFFF"/>
                <w:sz w:val="17"/>
              </w:rPr>
              <w:t>Commune</w:t>
            </w:r>
          </w:p>
        </w:tc>
        <w:tc>
          <w:tcPr>
            <w:tcW w:type="dxa" w:w="2268"/>
            <w:shd w:val="clear" w:color="auto" w:fill="1E3A5F"/>
          </w:tcPr>
          <w:p>
            <w:pPr>
              <w:spacing w:before="80" w:after="80"/>
              <w:jc w:val="center"/>
            </w:pPr>
            <w:r>
              <w:rPr>
                <w:rFonts w:ascii="Calibri" w:hAnsi="Calibri"/>
                <w:b/>
                <w:i w:val="0"/>
                <w:color w:val="FFFFFF"/>
                <w:sz w:val="17"/>
              </w:rPr>
              <w:t>Montant HT (DH)</w:t>
            </w:r>
          </w:p>
        </w:tc>
        <w:tc>
          <w:tcPr>
            <w:tcW w:type="dxa" w:w="2268"/>
            <w:shd w:val="clear" w:color="auto" w:fill="1E3A5F"/>
          </w:tcPr>
          <w:p>
            <w:pPr>
              <w:spacing w:before="80" w:after="80"/>
              <w:jc w:val="center"/>
            </w:pPr>
            <w:r>
              <w:rPr>
                <w:rFonts w:ascii="Calibri" w:hAnsi="Calibri"/>
                <w:b/>
                <w:i w:val="0"/>
                <w:color w:val="FFFFFF"/>
                <w:sz w:val="17"/>
              </w:rPr>
              <w:t>Montant TTC (DH)</w:t>
            </w:r>
          </w:p>
        </w:tc>
        <w:tc>
          <w:tcPr>
            <w:tcW w:type="dxa" w:w="2268"/>
            <w:shd w:val="clear" w:color="auto" w:fill="1E3A5F"/>
          </w:tcPr>
          <w:p>
            <w:pPr>
              <w:spacing w:before="80" w:after="80"/>
              <w:jc w:val="center"/>
            </w:pPr>
            <w:r>
              <w:rPr>
                <w:rFonts w:ascii="Calibri" w:hAnsi="Calibri"/>
                <w:b/>
                <w:i w:val="0"/>
                <w:color w:val="FFFFFF"/>
                <w:sz w:val="17"/>
              </w:rPr>
              <w:t>% du total</w:t>
            </w:r>
          </w:p>
        </w:tc>
      </w:tr>
      <w:tr>
        <w:tc>
          <w:tcPr>
            <w:tcW w:type="dxa" w:w="2551"/>
            <w:shd w:val="clear" w:color="auto" w:fill="F0F4F8"/>
            <w:tcBorders>
              <w:bottom w:val="single" w:sz="4" w:color="DDDDDD" w:space="0"/>
            </w:tcBorders>
          </w:tcPr>
          <w:p>
            <w:pPr>
              <w:spacing w:before="60" w:after="60"/>
            </w:pPr>
            <w:r>
              <w:rPr>
                <w:rFonts w:ascii="Calibri" w:hAnsi="Calibri"/>
                <w:b w:val="0"/>
                <w:i w:val="0"/>
                <w:color w:val="2D2D2D"/>
                <w:sz w:val="18"/>
              </w:rPr>
              <w:t>El Hammam</w:t>
            </w:r>
          </w:p>
        </w:tc>
        <w:tc>
          <w:tcPr>
            <w:tcW w:type="dxa" w:w="2268"/>
            <w:shd w:val="clear" w:color="auto" w:fill="F0F4F8"/>
            <w:tcBorders>
              <w:bottom w:val="single" w:sz="4" w:color="DDDDDD" w:space="0"/>
            </w:tcBorders>
          </w:tcPr>
          <w:p>
            <w:pPr>
              <w:spacing w:before="60" w:after="60"/>
            </w:pPr>
            <w:r>
              <w:rPr>
                <w:rFonts w:ascii="Calibri" w:hAnsi="Calibri"/>
                <w:b w:val="0"/>
                <w:i w:val="0"/>
                <w:color w:val="2D2D2D"/>
                <w:sz w:val="18"/>
              </w:rPr>
              <w:t>6 634 919</w:t>
            </w:r>
          </w:p>
        </w:tc>
        <w:tc>
          <w:tcPr>
            <w:tcW w:type="dxa" w:w="2268"/>
            <w:shd w:val="clear" w:color="auto" w:fill="F0F4F8"/>
            <w:tcBorders>
              <w:bottom w:val="single" w:sz="4" w:color="DDDDDD" w:space="0"/>
            </w:tcBorders>
          </w:tcPr>
          <w:p>
            <w:pPr>
              <w:spacing w:before="60" w:after="60"/>
            </w:pPr>
            <w:r>
              <w:rPr>
                <w:rFonts w:ascii="Calibri" w:hAnsi="Calibri"/>
                <w:b w:val="0"/>
                <w:i w:val="0"/>
                <w:color w:val="2D2D2D"/>
                <w:sz w:val="18"/>
              </w:rPr>
              <w:t>7 961 903</w:t>
            </w:r>
          </w:p>
        </w:tc>
        <w:tc>
          <w:tcPr>
            <w:tcW w:type="dxa" w:w="2268"/>
            <w:shd w:val="clear" w:color="auto" w:fill="F0F4F8"/>
            <w:tcBorders>
              <w:bottom w:val="single" w:sz="4" w:color="DDDDDD" w:space="0"/>
            </w:tcBorders>
          </w:tcPr>
          <w:p>
            <w:pPr>
              <w:spacing w:before="60" w:after="60"/>
            </w:pPr>
            <w:r>
              <w:rPr>
                <w:rFonts w:ascii="Calibri" w:hAnsi="Calibri"/>
                <w:b w:val="0"/>
                <w:i w:val="0"/>
                <w:color w:val="2D2D2D"/>
                <w:sz w:val="18"/>
              </w:rPr>
              <w:t>14,9%</w:t>
            </w:r>
          </w:p>
        </w:tc>
      </w:tr>
      <w:tr>
        <w:tc>
          <w:tcPr>
            <w:tcW w:type="dxa" w:w="2551"/>
            <w:shd w:val="clear" w:color="auto" w:fill="FFFFFF"/>
            <w:tcBorders>
              <w:bottom w:val="single" w:sz="4" w:color="DDDDDD" w:space="0"/>
            </w:tcBorders>
          </w:tcPr>
          <w:p>
            <w:pPr>
              <w:spacing w:before="60" w:after="60"/>
            </w:pPr>
            <w:r>
              <w:rPr>
                <w:rFonts w:ascii="Calibri" w:hAnsi="Calibri"/>
                <w:b w:val="0"/>
                <w:i w:val="0"/>
                <w:color w:val="2D2D2D"/>
                <w:sz w:val="18"/>
              </w:rPr>
              <w:t>Kerrouchen</w:t>
            </w:r>
          </w:p>
        </w:tc>
        <w:tc>
          <w:tcPr>
            <w:tcW w:type="dxa" w:w="2268"/>
            <w:shd w:val="clear" w:color="auto" w:fill="FFFFFF"/>
            <w:tcBorders>
              <w:bottom w:val="single" w:sz="4" w:color="DDDDDD" w:space="0"/>
            </w:tcBorders>
          </w:tcPr>
          <w:p>
            <w:pPr>
              <w:spacing w:before="60" w:after="60"/>
            </w:pPr>
            <w:r>
              <w:rPr>
                <w:rFonts w:ascii="Calibri" w:hAnsi="Calibri"/>
                <w:b w:val="0"/>
                <w:i w:val="0"/>
                <w:color w:val="2D2D2D"/>
                <w:sz w:val="18"/>
              </w:rPr>
              <w:t>7 336 914</w:t>
            </w:r>
          </w:p>
        </w:tc>
        <w:tc>
          <w:tcPr>
            <w:tcW w:type="dxa" w:w="2268"/>
            <w:shd w:val="clear" w:color="auto" w:fill="FFFFFF"/>
            <w:tcBorders>
              <w:bottom w:val="single" w:sz="4" w:color="DDDDDD" w:space="0"/>
            </w:tcBorders>
          </w:tcPr>
          <w:p>
            <w:pPr>
              <w:spacing w:before="60" w:after="60"/>
            </w:pPr>
            <w:r>
              <w:rPr>
                <w:rFonts w:ascii="Calibri" w:hAnsi="Calibri"/>
                <w:b w:val="0"/>
                <w:i w:val="0"/>
                <w:color w:val="2D2D2D"/>
                <w:sz w:val="18"/>
              </w:rPr>
              <w:t>8 804 297</w:t>
            </w:r>
          </w:p>
        </w:tc>
        <w:tc>
          <w:tcPr>
            <w:tcW w:type="dxa" w:w="2268"/>
            <w:shd w:val="clear" w:color="auto" w:fill="FFFFFF"/>
            <w:tcBorders>
              <w:bottom w:val="single" w:sz="4" w:color="DDDDDD" w:space="0"/>
            </w:tcBorders>
          </w:tcPr>
          <w:p>
            <w:pPr>
              <w:spacing w:before="60" w:after="60"/>
            </w:pPr>
            <w:r>
              <w:rPr>
                <w:rFonts w:ascii="Calibri" w:hAnsi="Calibri"/>
                <w:b w:val="0"/>
                <w:i w:val="0"/>
                <w:color w:val="2D2D2D"/>
                <w:sz w:val="18"/>
              </w:rPr>
              <w:t>16,5%</w:t>
            </w:r>
          </w:p>
        </w:tc>
      </w:tr>
      <w:tr>
        <w:tc>
          <w:tcPr>
            <w:tcW w:type="dxa" w:w="2551"/>
            <w:shd w:val="clear" w:color="auto" w:fill="F0F4F8"/>
            <w:tcBorders>
              <w:bottom w:val="single" w:sz="4" w:color="DDDDDD" w:space="0"/>
            </w:tcBorders>
          </w:tcPr>
          <w:p>
            <w:pPr>
              <w:spacing w:before="60" w:after="60"/>
            </w:pPr>
            <w:r>
              <w:rPr>
                <w:rFonts w:ascii="Calibri" w:hAnsi="Calibri"/>
                <w:b w:val="0"/>
                <w:i w:val="0"/>
                <w:color w:val="2D2D2D"/>
                <w:sz w:val="18"/>
              </w:rPr>
              <w:t>Ouaoumana</w:t>
            </w:r>
          </w:p>
        </w:tc>
        <w:tc>
          <w:tcPr>
            <w:tcW w:type="dxa" w:w="2268"/>
            <w:shd w:val="clear" w:color="auto" w:fill="F0F4F8"/>
            <w:tcBorders>
              <w:bottom w:val="single" w:sz="4" w:color="DDDDDD" w:space="0"/>
            </w:tcBorders>
          </w:tcPr>
          <w:p>
            <w:pPr>
              <w:spacing w:before="60" w:after="60"/>
            </w:pPr>
            <w:r>
              <w:rPr>
                <w:rFonts w:ascii="Calibri" w:hAnsi="Calibri"/>
                <w:b w:val="0"/>
                <w:i w:val="0"/>
                <w:color w:val="2D2D2D"/>
                <w:sz w:val="18"/>
              </w:rPr>
              <w:t>15 830 359</w:t>
            </w:r>
          </w:p>
        </w:tc>
        <w:tc>
          <w:tcPr>
            <w:tcW w:type="dxa" w:w="2268"/>
            <w:shd w:val="clear" w:color="auto" w:fill="F0F4F8"/>
            <w:tcBorders>
              <w:bottom w:val="single" w:sz="4" w:color="DDDDDD" w:space="0"/>
            </w:tcBorders>
          </w:tcPr>
          <w:p>
            <w:pPr>
              <w:spacing w:before="60" w:after="60"/>
            </w:pPr>
            <w:r>
              <w:rPr>
                <w:rFonts w:ascii="Calibri" w:hAnsi="Calibri"/>
                <w:b w:val="0"/>
                <w:i w:val="0"/>
                <w:color w:val="2D2D2D"/>
                <w:sz w:val="18"/>
              </w:rPr>
              <w:t>18 996 431</w:t>
            </w:r>
          </w:p>
        </w:tc>
        <w:tc>
          <w:tcPr>
            <w:tcW w:type="dxa" w:w="2268"/>
            <w:shd w:val="clear" w:color="auto" w:fill="F0F4F8"/>
            <w:tcBorders>
              <w:bottom w:val="single" w:sz="4" w:color="DDDDDD" w:space="0"/>
            </w:tcBorders>
          </w:tcPr>
          <w:p>
            <w:pPr>
              <w:spacing w:before="60" w:after="60"/>
            </w:pPr>
            <w:r>
              <w:rPr>
                <w:rFonts w:ascii="Calibri" w:hAnsi="Calibri"/>
                <w:b w:val="0"/>
                <w:i w:val="0"/>
                <w:color w:val="2D2D2D"/>
                <w:sz w:val="18"/>
              </w:rPr>
              <w:t>35,5%</w:t>
            </w:r>
          </w:p>
        </w:tc>
      </w:tr>
      <w:tr>
        <w:tc>
          <w:tcPr>
            <w:tcW w:type="dxa" w:w="2551"/>
            <w:shd w:val="clear" w:color="auto" w:fill="FFFFFF"/>
            <w:tcBorders>
              <w:bottom w:val="single" w:sz="4" w:color="DDDDDD" w:space="0"/>
            </w:tcBorders>
          </w:tcPr>
          <w:p>
            <w:pPr>
              <w:spacing w:before="60" w:after="60"/>
            </w:pPr>
            <w:r>
              <w:rPr>
                <w:rFonts w:ascii="Calibri" w:hAnsi="Calibri"/>
                <w:b w:val="0"/>
                <w:i w:val="0"/>
                <w:color w:val="2D2D2D"/>
                <w:sz w:val="18"/>
              </w:rPr>
              <w:t>Sebt Ait Rahou</w:t>
            </w:r>
          </w:p>
        </w:tc>
        <w:tc>
          <w:tcPr>
            <w:tcW w:type="dxa" w:w="2268"/>
            <w:shd w:val="clear" w:color="auto" w:fill="FFFFFF"/>
            <w:tcBorders>
              <w:bottom w:val="single" w:sz="4" w:color="DDDDDD" w:space="0"/>
            </w:tcBorders>
          </w:tcPr>
          <w:p>
            <w:pPr>
              <w:spacing w:before="60" w:after="60"/>
            </w:pPr>
            <w:r>
              <w:rPr>
                <w:rFonts w:ascii="Calibri" w:hAnsi="Calibri"/>
                <w:b w:val="0"/>
                <w:i w:val="0"/>
                <w:color w:val="2D2D2D"/>
                <w:sz w:val="18"/>
              </w:rPr>
              <w:t>14 803 389</w:t>
            </w:r>
          </w:p>
        </w:tc>
        <w:tc>
          <w:tcPr>
            <w:tcW w:type="dxa" w:w="2268"/>
            <w:shd w:val="clear" w:color="auto" w:fill="FFFFFF"/>
            <w:tcBorders>
              <w:bottom w:val="single" w:sz="4" w:color="DDDDDD" w:space="0"/>
            </w:tcBorders>
          </w:tcPr>
          <w:p>
            <w:pPr>
              <w:spacing w:before="60" w:after="60"/>
            </w:pPr>
            <w:r>
              <w:rPr>
                <w:rFonts w:ascii="Calibri" w:hAnsi="Calibri"/>
                <w:b w:val="0"/>
                <w:i w:val="0"/>
                <w:color w:val="2D2D2D"/>
                <w:sz w:val="18"/>
              </w:rPr>
              <w:t>17 764 067</w:t>
            </w:r>
          </w:p>
        </w:tc>
        <w:tc>
          <w:tcPr>
            <w:tcW w:type="dxa" w:w="2268"/>
            <w:shd w:val="clear" w:color="auto" w:fill="FFFFFF"/>
            <w:tcBorders>
              <w:bottom w:val="single" w:sz="4" w:color="DDDDDD" w:space="0"/>
            </w:tcBorders>
          </w:tcPr>
          <w:p>
            <w:pPr>
              <w:spacing w:before="60" w:after="60"/>
            </w:pPr>
            <w:r>
              <w:rPr>
                <w:rFonts w:ascii="Calibri" w:hAnsi="Calibri"/>
                <w:b w:val="0"/>
                <w:i w:val="0"/>
                <w:color w:val="2D2D2D"/>
                <w:sz w:val="18"/>
              </w:rPr>
              <w:t>33,2%</w:t>
            </w:r>
          </w:p>
        </w:tc>
      </w:tr>
      <w:tr>
        <w:tc>
          <w:tcPr>
            <w:tcW w:type="dxa" w:w="2551"/>
            <w:shd w:val="clear" w:color="auto" w:fill="FFF8F0"/>
            <w:tcBorders>
              <w:bottom w:val="single" w:sz="4" w:color="DDDDDD" w:space="0"/>
            </w:tcBorders>
          </w:tcPr>
          <w:p>
            <w:pPr>
              <w:spacing w:before="60" w:after="60"/>
            </w:pPr>
            <w:r>
              <w:rPr>
                <w:rFonts w:ascii="Calibri" w:hAnsi="Calibri"/>
                <w:b/>
                <w:i w:val="0"/>
                <w:color w:val="F39200"/>
                <w:sz w:val="18"/>
              </w:rPr>
              <w:t>TOTAL</w:t>
            </w:r>
          </w:p>
        </w:tc>
        <w:tc>
          <w:tcPr>
            <w:tcW w:type="dxa" w:w="2268"/>
            <w:shd w:val="clear" w:color="auto" w:fill="FFF8F0"/>
            <w:tcBorders>
              <w:bottom w:val="single" w:sz="4" w:color="DDDDDD" w:space="0"/>
            </w:tcBorders>
          </w:tcPr>
          <w:p>
            <w:pPr>
              <w:spacing w:before="60" w:after="60"/>
            </w:pPr>
            <w:r>
              <w:rPr>
                <w:rFonts w:ascii="Calibri" w:hAnsi="Calibri"/>
                <w:b/>
                <w:i w:val="0"/>
                <w:color w:val="F39200"/>
                <w:sz w:val="18"/>
              </w:rPr>
              <w:t>44 605 581</w:t>
            </w:r>
          </w:p>
        </w:tc>
        <w:tc>
          <w:tcPr>
            <w:tcW w:type="dxa" w:w="2268"/>
            <w:shd w:val="clear" w:color="auto" w:fill="FFF8F0"/>
            <w:tcBorders>
              <w:bottom w:val="single" w:sz="4" w:color="DDDDDD" w:space="0"/>
            </w:tcBorders>
          </w:tcPr>
          <w:p>
            <w:pPr>
              <w:spacing w:before="60" w:after="60"/>
            </w:pPr>
            <w:r>
              <w:rPr>
                <w:rFonts w:ascii="Calibri" w:hAnsi="Calibri"/>
                <w:b/>
                <w:i w:val="0"/>
                <w:color w:val="F39200"/>
                <w:sz w:val="18"/>
              </w:rPr>
              <w:t>53 526 697</w:t>
            </w:r>
          </w:p>
        </w:tc>
        <w:tc>
          <w:tcPr>
            <w:tcW w:type="dxa" w:w="2268"/>
            <w:shd w:val="clear" w:color="auto" w:fill="FFF8F0"/>
            <w:tcBorders>
              <w:bottom w:val="single" w:sz="4" w:color="DDDDDD" w:space="0"/>
            </w:tcBorders>
          </w:tcPr>
          <w:p>
            <w:pPr>
              <w:spacing w:before="60" w:after="60"/>
            </w:pPr>
            <w:r>
              <w:rPr>
                <w:rFonts w:ascii="Calibri" w:hAnsi="Calibri"/>
                <w:b/>
                <w:i w:val="0"/>
                <w:color w:val="F39200"/>
                <w:sz w:val="18"/>
              </w:rPr>
              <w:t>100%</w:t>
            </w:r>
          </w:p>
        </w:tc>
      </w:tr>
    </w:tbl>
    <w:p>
      <w:pPr>
        <w:spacing w:after="160"/>
      </w:pPr>
    </w:p>
    <w:p>
      <w:pPr>
        <w:spacing w:before="360" w:after="120"/>
      </w:pPr>
      <w:r>
        <w:rPr>
          <w:rFonts w:ascii="Calibri" w:hAnsi="Calibri"/>
          <w:b/>
          <w:i w:val="0"/>
          <w:color w:val="2E86C1"/>
          <w:sz w:val="24"/>
        </w:rPr>
        <w:t>2.3 Les 8 corps d'état</w:t>
      </w:r>
    </w:p>
    <w:tbl>
      <w:tblPr>
        <w:tblW w:type="auto" w:w="0"/>
        <w:tblLook w:firstColumn="1" w:firstRow="1" w:lastColumn="0" w:lastRow="0" w:noHBand="0" w:noVBand="1" w:val="04A0"/>
        <w:tblBorders>
          <w:top w:val="none"/>
          <w:left w:val="none"/>
          <w:bottom w:val="none"/>
          <w:right w:val="none"/>
          <w:insideH w:val="none"/>
          <w:insideV w:val="none"/>
        </w:tblBorders>
      </w:tblPr>
      <w:tblGrid>
        <w:gridCol w:w="3118"/>
        <w:gridCol w:w="3118"/>
        <w:gridCol w:w="3118"/>
      </w:tblGrid>
      <w:tr>
        <w:tc>
          <w:tcPr>
            <w:tcW w:type="dxa" w:w="850"/>
            <w:shd w:val="clear" w:color="auto" w:fill="1E3A5F"/>
          </w:tcPr>
          <w:p>
            <w:pPr>
              <w:spacing w:before="80" w:after="80"/>
              <w:jc w:val="center"/>
            </w:pPr>
            <w:r>
              <w:rPr>
                <w:rFonts w:ascii="Calibri" w:hAnsi="Calibri"/>
                <w:b/>
                <w:i w:val="0"/>
                <w:color w:val="FFFFFF"/>
                <w:sz w:val="17"/>
              </w:rPr>
              <w:t>Partie</w:t>
            </w:r>
          </w:p>
        </w:tc>
        <w:tc>
          <w:tcPr>
            <w:tcW w:type="dxa" w:w="2551"/>
            <w:shd w:val="clear" w:color="auto" w:fill="1E3A5F"/>
          </w:tcPr>
          <w:p>
            <w:pPr>
              <w:spacing w:before="80" w:after="80"/>
              <w:jc w:val="center"/>
            </w:pPr>
            <w:r>
              <w:rPr>
                <w:rFonts w:ascii="Calibri" w:hAnsi="Calibri"/>
                <w:b/>
                <w:i w:val="0"/>
                <w:color w:val="FFFFFF"/>
                <w:sz w:val="17"/>
              </w:rPr>
              <w:t>Désignation</w:t>
            </w:r>
          </w:p>
        </w:tc>
        <w:tc>
          <w:tcPr>
            <w:tcW w:type="dxa" w:w="5953"/>
            <w:shd w:val="clear" w:color="auto" w:fill="1E3A5F"/>
          </w:tcPr>
          <w:p>
            <w:pPr>
              <w:spacing w:before="80" w:after="80"/>
              <w:jc w:val="center"/>
            </w:pPr>
            <w:r>
              <w:rPr>
                <w:rFonts w:ascii="Calibri" w:hAnsi="Calibri"/>
                <w:b/>
                <w:i w:val="0"/>
                <w:color w:val="FFFFFF"/>
                <w:sz w:val="17"/>
              </w:rPr>
              <w:t>Exemple de travaux</w:t>
            </w:r>
          </w:p>
        </w:tc>
      </w:tr>
      <w:tr>
        <w:tc>
          <w:tcPr>
            <w:tcW w:type="dxa" w:w="850"/>
            <w:shd w:val="clear" w:color="auto" w:fill="F0F4F8"/>
            <w:tcBorders>
              <w:bottom w:val="single" w:sz="4" w:color="DDDDDD" w:space="0"/>
            </w:tcBorders>
          </w:tcPr>
          <w:p>
            <w:pPr>
              <w:spacing w:before="60" w:after="60"/>
            </w:pPr>
            <w:r>
              <w:rPr>
                <w:rFonts w:ascii="Calibri" w:hAnsi="Calibri"/>
                <w:b w:val="0"/>
                <w:i w:val="0"/>
                <w:color w:val="2D2D2D"/>
                <w:sz w:val="18"/>
              </w:rPr>
              <w:t>01</w:t>
            </w:r>
          </w:p>
        </w:tc>
        <w:tc>
          <w:tcPr>
            <w:tcW w:type="dxa" w:w="2551"/>
            <w:shd w:val="clear" w:color="auto" w:fill="F0F4F8"/>
            <w:tcBorders>
              <w:bottom w:val="single" w:sz="4" w:color="DDDDDD" w:space="0"/>
            </w:tcBorders>
          </w:tcPr>
          <w:p>
            <w:pPr>
              <w:spacing w:before="60" w:after="60"/>
            </w:pPr>
            <w:r>
              <w:rPr>
                <w:rFonts w:ascii="Calibri" w:hAnsi="Calibri"/>
                <w:b w:val="0"/>
                <w:i w:val="0"/>
                <w:color w:val="2D2D2D"/>
                <w:sz w:val="18"/>
              </w:rPr>
              <w:t>Assainissement &amp; réseaux</w:t>
            </w:r>
          </w:p>
        </w:tc>
        <w:tc>
          <w:tcPr>
            <w:tcW w:type="dxa" w:w="5953"/>
            <w:shd w:val="clear" w:color="auto" w:fill="F0F4F8"/>
            <w:tcBorders>
              <w:bottom w:val="single" w:sz="4" w:color="DDDDDD" w:space="0"/>
            </w:tcBorders>
          </w:tcPr>
          <w:p>
            <w:pPr>
              <w:spacing w:before="60" w:after="60"/>
            </w:pPr>
            <w:r>
              <w:rPr>
                <w:rFonts w:ascii="Calibri" w:hAnsi="Calibri"/>
                <w:b w:val="0"/>
                <w:i w:val="0"/>
                <w:color w:val="2D2D2D"/>
                <w:sz w:val="18"/>
              </w:rPr>
              <w:t>Tranchées, buses PEHD Ø400-Ø500, regards, bouches d'égout</w:t>
            </w:r>
          </w:p>
        </w:tc>
      </w:tr>
      <w:tr>
        <w:tc>
          <w:tcPr>
            <w:tcW w:type="dxa" w:w="850"/>
            <w:shd w:val="clear" w:color="auto" w:fill="FFFFFF"/>
            <w:tcBorders>
              <w:bottom w:val="single" w:sz="4" w:color="DDDDDD" w:space="0"/>
            </w:tcBorders>
          </w:tcPr>
          <w:p>
            <w:pPr>
              <w:spacing w:before="60" w:after="60"/>
            </w:pPr>
            <w:r>
              <w:rPr>
                <w:rFonts w:ascii="Calibri" w:hAnsi="Calibri"/>
                <w:b w:val="0"/>
                <w:i w:val="0"/>
                <w:color w:val="2D2D2D"/>
                <w:sz w:val="18"/>
              </w:rPr>
              <w:t>02</w:t>
            </w:r>
          </w:p>
        </w:tc>
        <w:tc>
          <w:tcPr>
            <w:tcW w:type="dxa" w:w="2551"/>
            <w:shd w:val="clear" w:color="auto" w:fill="FFFFFF"/>
            <w:tcBorders>
              <w:bottom w:val="single" w:sz="4" w:color="DDDDDD" w:space="0"/>
            </w:tcBorders>
          </w:tcPr>
          <w:p>
            <w:pPr>
              <w:spacing w:before="60" w:after="60"/>
            </w:pPr>
            <w:r>
              <w:rPr>
                <w:rFonts w:ascii="Calibri" w:hAnsi="Calibri"/>
                <w:b w:val="0"/>
                <w:i w:val="0"/>
                <w:color w:val="2D2D2D"/>
                <w:sz w:val="18"/>
              </w:rPr>
              <w:t>Travaux de chaussée</w:t>
            </w:r>
          </w:p>
        </w:tc>
        <w:tc>
          <w:tcPr>
            <w:tcW w:type="dxa" w:w="5953"/>
            <w:shd w:val="clear" w:color="auto" w:fill="FFFFFF"/>
            <w:tcBorders>
              <w:bottom w:val="single" w:sz="4" w:color="DDDDDD" w:space="0"/>
            </w:tcBorders>
          </w:tcPr>
          <w:p>
            <w:pPr>
              <w:spacing w:before="60" w:after="60"/>
            </w:pPr>
            <w:r>
              <w:rPr>
                <w:rFonts w:ascii="Calibri" w:hAnsi="Calibri"/>
                <w:b w:val="0"/>
                <w:i w:val="0"/>
                <w:color w:val="2D2D2D"/>
                <w:sz w:val="18"/>
              </w:rPr>
              <w:t>Terrassement, couche GNF1, couche base GNA, enrobés EB 0/10</w:t>
            </w:r>
          </w:p>
        </w:tc>
      </w:tr>
      <w:tr>
        <w:tc>
          <w:tcPr>
            <w:tcW w:type="dxa" w:w="850"/>
            <w:shd w:val="clear" w:color="auto" w:fill="F0F4F8"/>
            <w:tcBorders>
              <w:bottom w:val="single" w:sz="4" w:color="DDDDDD" w:space="0"/>
            </w:tcBorders>
          </w:tcPr>
          <w:p>
            <w:pPr>
              <w:spacing w:before="60" w:after="60"/>
            </w:pPr>
            <w:r>
              <w:rPr>
                <w:rFonts w:ascii="Calibri" w:hAnsi="Calibri"/>
                <w:b w:val="0"/>
                <w:i w:val="0"/>
                <w:color w:val="2D2D2D"/>
                <w:sz w:val="18"/>
              </w:rPr>
              <w:t>03</w:t>
            </w:r>
          </w:p>
        </w:tc>
        <w:tc>
          <w:tcPr>
            <w:tcW w:type="dxa" w:w="2551"/>
            <w:shd w:val="clear" w:color="auto" w:fill="F0F4F8"/>
            <w:tcBorders>
              <w:bottom w:val="single" w:sz="4" w:color="DDDDDD" w:space="0"/>
            </w:tcBorders>
          </w:tcPr>
          <w:p>
            <w:pPr>
              <w:spacing w:before="60" w:after="60"/>
            </w:pPr>
            <w:r>
              <w:rPr>
                <w:rFonts w:ascii="Calibri" w:hAnsi="Calibri"/>
                <w:b w:val="0"/>
                <w:i w:val="0"/>
                <w:color w:val="2D2D2D"/>
                <w:sz w:val="18"/>
              </w:rPr>
              <w:t>Aménagement trottoirs</w:t>
            </w:r>
          </w:p>
        </w:tc>
        <w:tc>
          <w:tcPr>
            <w:tcW w:type="dxa" w:w="5953"/>
            <w:shd w:val="clear" w:color="auto" w:fill="F0F4F8"/>
            <w:tcBorders>
              <w:bottom w:val="single" w:sz="4" w:color="DDDDDD" w:space="0"/>
            </w:tcBorders>
          </w:tcPr>
          <w:p>
            <w:pPr>
              <w:spacing w:before="60" w:after="60"/>
            </w:pPr>
            <w:r>
              <w:rPr>
                <w:rFonts w:ascii="Calibri" w:hAnsi="Calibri"/>
                <w:b w:val="0"/>
                <w:i w:val="0"/>
                <w:color w:val="2D2D2D"/>
                <w:sz w:val="18"/>
              </w:rPr>
              <w:t>Bordures T1/T3, béton, revêtement carreaux striés, pavés</w:t>
            </w:r>
          </w:p>
        </w:tc>
      </w:tr>
      <w:tr>
        <w:tc>
          <w:tcPr>
            <w:tcW w:type="dxa" w:w="850"/>
            <w:shd w:val="clear" w:color="auto" w:fill="FFFFFF"/>
            <w:tcBorders>
              <w:bottom w:val="single" w:sz="4" w:color="DDDDDD" w:space="0"/>
            </w:tcBorders>
          </w:tcPr>
          <w:p>
            <w:pPr>
              <w:spacing w:before="60" w:after="60"/>
            </w:pPr>
            <w:r>
              <w:rPr>
                <w:rFonts w:ascii="Calibri" w:hAnsi="Calibri"/>
                <w:b w:val="0"/>
                <w:i w:val="0"/>
                <w:color w:val="2D2D2D"/>
                <w:sz w:val="18"/>
              </w:rPr>
              <w:t>04</w:t>
            </w:r>
          </w:p>
        </w:tc>
        <w:tc>
          <w:tcPr>
            <w:tcW w:type="dxa" w:w="2551"/>
            <w:shd w:val="clear" w:color="auto" w:fill="FFFFFF"/>
            <w:tcBorders>
              <w:bottom w:val="single" w:sz="4" w:color="DDDDDD" w:space="0"/>
            </w:tcBorders>
          </w:tcPr>
          <w:p>
            <w:pPr>
              <w:spacing w:before="60" w:after="60"/>
            </w:pPr>
            <w:r>
              <w:rPr>
                <w:rFonts w:ascii="Calibri" w:hAnsi="Calibri"/>
                <w:b w:val="0"/>
                <w:i w:val="0"/>
                <w:color w:val="2D2D2D"/>
                <w:sz w:val="18"/>
              </w:rPr>
              <w:t>Signalisation</w:t>
            </w:r>
          </w:p>
        </w:tc>
        <w:tc>
          <w:tcPr>
            <w:tcW w:type="dxa" w:w="5953"/>
            <w:shd w:val="clear" w:color="auto" w:fill="FFFFFF"/>
            <w:tcBorders>
              <w:bottom w:val="single" w:sz="4" w:color="DDDDDD" w:space="0"/>
            </w:tcBorders>
          </w:tcPr>
          <w:p>
            <w:pPr>
              <w:spacing w:before="60" w:after="60"/>
            </w:pPr>
            <w:r>
              <w:rPr>
                <w:rFonts w:ascii="Calibri" w:hAnsi="Calibri"/>
                <w:b w:val="0"/>
                <w:i w:val="0"/>
                <w:color w:val="2D2D2D"/>
                <w:sz w:val="18"/>
              </w:rPr>
              <w:t>Marquage au sol, panneaux réglementaires, peinture bordures</w:t>
            </w:r>
          </w:p>
        </w:tc>
      </w:tr>
      <w:tr>
        <w:tc>
          <w:tcPr>
            <w:tcW w:type="dxa" w:w="850"/>
            <w:shd w:val="clear" w:color="auto" w:fill="F0F4F8"/>
            <w:tcBorders>
              <w:bottom w:val="single" w:sz="4" w:color="DDDDDD" w:space="0"/>
            </w:tcBorders>
          </w:tcPr>
          <w:p>
            <w:pPr>
              <w:spacing w:before="60" w:after="60"/>
            </w:pPr>
            <w:r>
              <w:rPr>
                <w:rFonts w:ascii="Calibri" w:hAnsi="Calibri"/>
                <w:b w:val="0"/>
                <w:i w:val="0"/>
                <w:color w:val="2D2D2D"/>
                <w:sz w:val="18"/>
              </w:rPr>
              <w:t>05</w:t>
            </w:r>
          </w:p>
        </w:tc>
        <w:tc>
          <w:tcPr>
            <w:tcW w:type="dxa" w:w="2551"/>
            <w:shd w:val="clear" w:color="auto" w:fill="F0F4F8"/>
            <w:tcBorders>
              <w:bottom w:val="single" w:sz="4" w:color="DDDDDD" w:space="0"/>
            </w:tcBorders>
          </w:tcPr>
          <w:p>
            <w:pPr>
              <w:spacing w:before="60" w:after="60"/>
            </w:pPr>
            <w:r>
              <w:rPr>
                <w:rFonts w:ascii="Calibri" w:hAnsi="Calibri"/>
                <w:b w:val="0"/>
                <w:i w:val="0"/>
                <w:color w:val="2D2D2D"/>
                <w:sz w:val="18"/>
              </w:rPr>
              <w:t>Éclairage public</w:t>
            </w:r>
          </w:p>
        </w:tc>
        <w:tc>
          <w:tcPr>
            <w:tcW w:type="dxa" w:w="5953"/>
            <w:shd w:val="clear" w:color="auto" w:fill="F0F4F8"/>
            <w:tcBorders>
              <w:bottom w:val="single" w:sz="4" w:color="DDDDDD" w:space="0"/>
            </w:tcBorders>
          </w:tcPr>
          <w:p>
            <w:pPr>
              <w:spacing w:before="60" w:after="60"/>
            </w:pPr>
            <w:r>
              <w:rPr>
                <w:rFonts w:ascii="Calibri" w:hAnsi="Calibri"/>
                <w:b w:val="0"/>
                <w:i w:val="0"/>
                <w:color w:val="2D2D2D"/>
                <w:sz w:val="18"/>
              </w:rPr>
              <w:t>Tranchées, tubes annelés, massifs candélabres (163 U), câbles</w:t>
            </w:r>
          </w:p>
        </w:tc>
      </w:tr>
      <w:tr>
        <w:tc>
          <w:tcPr>
            <w:tcW w:type="dxa" w:w="850"/>
            <w:shd w:val="clear" w:color="auto" w:fill="FFFFFF"/>
            <w:tcBorders>
              <w:bottom w:val="single" w:sz="4" w:color="DDDDDD" w:space="0"/>
            </w:tcBorders>
          </w:tcPr>
          <w:p>
            <w:pPr>
              <w:spacing w:before="60" w:after="60"/>
            </w:pPr>
            <w:r>
              <w:rPr>
                <w:rFonts w:ascii="Calibri" w:hAnsi="Calibri"/>
                <w:b w:val="0"/>
                <w:i w:val="0"/>
                <w:color w:val="2D2D2D"/>
                <w:sz w:val="18"/>
              </w:rPr>
              <w:t>06</w:t>
            </w:r>
          </w:p>
        </w:tc>
        <w:tc>
          <w:tcPr>
            <w:tcW w:type="dxa" w:w="2551"/>
            <w:shd w:val="clear" w:color="auto" w:fill="FFFFFF"/>
            <w:tcBorders>
              <w:bottom w:val="single" w:sz="4" w:color="DDDDDD" w:space="0"/>
            </w:tcBorders>
          </w:tcPr>
          <w:p>
            <w:pPr>
              <w:spacing w:before="60" w:after="60"/>
            </w:pPr>
            <w:r>
              <w:rPr>
                <w:rFonts w:ascii="Calibri" w:hAnsi="Calibri"/>
                <w:b w:val="0"/>
                <w:i w:val="0"/>
                <w:color w:val="2D2D2D"/>
                <w:sz w:val="18"/>
              </w:rPr>
              <w:t>Murs &amp; ouvrages divers</w:t>
            </w:r>
          </w:p>
        </w:tc>
        <w:tc>
          <w:tcPr>
            <w:tcW w:type="dxa" w:w="5953"/>
            <w:shd w:val="clear" w:color="auto" w:fill="FFFFFF"/>
            <w:tcBorders>
              <w:bottom w:val="single" w:sz="4" w:color="DDDDDD" w:space="0"/>
            </w:tcBorders>
          </w:tcPr>
          <w:p>
            <w:pPr>
              <w:spacing w:before="60" w:after="60"/>
            </w:pPr>
            <w:r>
              <w:rPr>
                <w:rFonts w:ascii="Calibri" w:hAnsi="Calibri"/>
                <w:b w:val="0"/>
                <w:i w:val="0"/>
                <w:color w:val="2D2D2D"/>
                <w:sz w:val="18"/>
              </w:rPr>
              <w:t>Béton armé, maçonnerie moellons, murs de soutènement, gabions</w:t>
            </w:r>
          </w:p>
        </w:tc>
      </w:tr>
      <w:tr>
        <w:tc>
          <w:tcPr>
            <w:tcW w:type="dxa" w:w="850"/>
            <w:shd w:val="clear" w:color="auto" w:fill="F0F4F8"/>
            <w:tcBorders>
              <w:bottom w:val="single" w:sz="4" w:color="DDDDDD" w:space="0"/>
            </w:tcBorders>
          </w:tcPr>
          <w:p>
            <w:pPr>
              <w:spacing w:before="60" w:after="60"/>
            </w:pPr>
            <w:r>
              <w:rPr>
                <w:rFonts w:ascii="Calibri" w:hAnsi="Calibri"/>
                <w:b w:val="0"/>
                <w:i w:val="0"/>
                <w:color w:val="2D2D2D"/>
                <w:sz w:val="18"/>
              </w:rPr>
              <w:t>07</w:t>
            </w:r>
          </w:p>
        </w:tc>
        <w:tc>
          <w:tcPr>
            <w:tcW w:type="dxa" w:w="2551"/>
            <w:shd w:val="clear" w:color="auto" w:fill="F0F4F8"/>
            <w:tcBorders>
              <w:bottom w:val="single" w:sz="4" w:color="DDDDDD" w:space="0"/>
            </w:tcBorders>
          </w:tcPr>
          <w:p>
            <w:pPr>
              <w:spacing w:before="60" w:after="60"/>
            </w:pPr>
            <w:r>
              <w:rPr>
                <w:rFonts w:ascii="Calibri" w:hAnsi="Calibri"/>
                <w:b w:val="0"/>
                <w:i w:val="0"/>
                <w:color w:val="2D2D2D"/>
                <w:sz w:val="18"/>
              </w:rPr>
              <w:t>Aménagement paysager</w:t>
            </w:r>
          </w:p>
        </w:tc>
        <w:tc>
          <w:tcPr>
            <w:tcW w:type="dxa" w:w="5953"/>
            <w:shd w:val="clear" w:color="auto" w:fill="F0F4F8"/>
            <w:tcBorders>
              <w:bottom w:val="single" w:sz="4" w:color="DDDDDD" w:space="0"/>
            </w:tcBorders>
          </w:tcPr>
          <w:p>
            <w:pPr>
              <w:spacing w:before="60" w:after="60"/>
            </w:pPr>
            <w:r>
              <w:rPr>
                <w:rFonts w:ascii="Calibri" w:hAnsi="Calibri"/>
                <w:b w:val="0"/>
                <w:i w:val="0"/>
                <w:color w:val="2D2D2D"/>
                <w:sz w:val="18"/>
              </w:rPr>
              <w:t>Terre végétale, réseau d'arrosage intégré, plantation arbres</w:t>
            </w:r>
          </w:p>
        </w:tc>
      </w:tr>
      <w:tr>
        <w:tc>
          <w:tcPr>
            <w:tcW w:type="dxa" w:w="850"/>
            <w:shd w:val="clear" w:color="auto" w:fill="FFFFFF"/>
            <w:tcBorders>
              <w:bottom w:val="single" w:sz="4" w:color="DDDDDD" w:space="0"/>
            </w:tcBorders>
          </w:tcPr>
          <w:p>
            <w:pPr>
              <w:spacing w:before="60" w:after="60"/>
            </w:pPr>
            <w:r>
              <w:rPr>
                <w:rFonts w:ascii="Calibri" w:hAnsi="Calibri"/>
                <w:b w:val="0"/>
                <w:i w:val="0"/>
                <w:color w:val="2D2D2D"/>
                <w:sz w:val="18"/>
              </w:rPr>
              <w:t>08</w:t>
            </w:r>
          </w:p>
        </w:tc>
        <w:tc>
          <w:tcPr>
            <w:tcW w:type="dxa" w:w="2551"/>
            <w:shd w:val="clear" w:color="auto" w:fill="FFFFFF"/>
            <w:tcBorders>
              <w:bottom w:val="single" w:sz="4" w:color="DDDDDD" w:space="0"/>
            </w:tcBorders>
          </w:tcPr>
          <w:p>
            <w:pPr>
              <w:spacing w:before="60" w:after="60"/>
            </w:pPr>
            <w:r>
              <w:rPr>
                <w:rFonts w:ascii="Calibri" w:hAnsi="Calibri"/>
                <w:b w:val="0"/>
                <w:i w:val="0"/>
                <w:color w:val="2D2D2D"/>
                <w:sz w:val="18"/>
              </w:rPr>
              <w:t>Mobilier urbain</w:t>
            </w:r>
          </w:p>
        </w:tc>
        <w:tc>
          <w:tcPr>
            <w:tcW w:type="dxa" w:w="5953"/>
            <w:shd w:val="clear" w:color="auto" w:fill="FFFFFF"/>
            <w:tcBorders>
              <w:bottom w:val="single" w:sz="4" w:color="DDDDDD" w:space="0"/>
            </w:tcBorders>
          </w:tcPr>
          <w:p>
            <w:pPr>
              <w:spacing w:before="60" w:after="60"/>
            </w:pPr>
            <w:r>
              <w:rPr>
                <w:rFonts w:ascii="Calibri" w:hAnsi="Calibri"/>
                <w:b w:val="0"/>
                <w:i w:val="0"/>
                <w:color w:val="2D2D2D"/>
                <w:sz w:val="18"/>
              </w:rPr>
              <w:t>Corbeilles, bancs en granite, bornes d'aménagement</w:t>
            </w:r>
          </w:p>
        </w:tc>
      </w:tr>
    </w:tbl>
    <w:p>
      <w:pPr>
        <w:spacing w:after="160"/>
      </w:pPr>
    </w:p>
    <w:tbl>
      <w:tblPr>
        <w:tblW w:type="auto" w:w="0"/>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5"/>
            <w:shd w:val="clear" w:color="auto" w:fill="0F1B2D"/>
          </w:tcPr>
          <w:p>
            <w:pPr>
              <w:spacing w:before="80" w:after="80"/>
            </w:pPr>
            <w:r>
              <w:rPr>
                <w:rFonts w:ascii="Calibri" w:hAnsi="Calibri"/>
                <w:b/>
                <w:i w:val="0"/>
                <w:color w:val="FFFFFF"/>
                <w:sz w:val="20"/>
              </w:rPr>
              <w:t>5 SITUATIONS PROFESSIONNELLES — DÉMARCHE CPAR</w:t>
            </w:r>
          </w:p>
        </w:tc>
      </w:tr>
    </w:tbl>
    <w:p>
      <w:pPr>
        <w:spacing w:after="80"/>
      </w:pPr>
    </w:p>
    <w:p>
      <w:pPr>
        <w:spacing w:before="0" w:after="160"/>
        <w:jc w:val="both"/>
      </w:pPr>
      <w:r>
        <w:rPr>
          <w:rFonts w:ascii="Calibri" w:hAnsi="Calibri"/>
          <w:b w:val="0"/>
          <w:i w:val="0"/>
          <w:color w:val="2D2D2D"/>
          <w:sz w:val="21"/>
        </w:rPr>
        <w:t>Chaque situation est analysée selon la démarche CPAR : le Contexte pose la mission et les enjeux, le Problème identifie l'obstacle concret rencontré, l'Action décrit la réponse apportée avec les moyens disponibles, le Résultat mesure l'impact réel et les enseignements tirés.</w:t>
      </w:r>
    </w:p>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1701"/>
            <w:shd w:val="clear" w:color="auto" w:fill="F39200"/>
          </w:tcPr>
          <w:p>
            <w:pPr>
              <w:spacing w:before="160" w:after="160"/>
              <w:jc w:val="center"/>
            </w:pPr>
            <w:r>
              <w:rPr>
                <w:rFonts w:ascii="Calibri" w:hAnsi="Calibri"/>
                <w:b/>
                <w:i w:val="0"/>
                <w:color w:val="FFFFFF"/>
                <w:sz w:val="18"/>
              </w:rPr>
              <w:t>SITUATION 1</w:t>
            </w:r>
          </w:p>
        </w:tc>
        <w:tc>
          <w:tcPr>
            <w:tcW w:type="dxa" w:w="7654"/>
            <w:shd w:val="clear" w:color="auto" w:fill="1E3A5F"/>
          </w:tcPr>
          <w:p>
            <w:pPr>
              <w:spacing w:before="160" w:after="80"/>
            </w:pPr>
            <w:r>
              <w:rPr>
                <w:rFonts w:ascii="Calibri" w:hAnsi="Calibri"/>
                <w:b/>
                <w:i w:val="0"/>
                <w:color w:val="FFFFFF"/>
                <w:sz w:val="22"/>
              </w:rPr>
              <w:t>Estimation confidentielle de l'administration – Ouaoumana</w:t>
            </w:r>
          </w:p>
          <w:p>
            <w:pPr>
              <w:spacing w:before="0" w:after="160"/>
            </w:pPr>
            <w:r>
              <w:rPr>
                <w:rFonts w:ascii="Calibri" w:hAnsi="Calibri"/>
                <w:b w:val="0"/>
                <w:i w:val="0"/>
                <w:color w:val="AAD4F0"/>
                <w:sz w:val="17"/>
              </w:rPr>
              <w:t>Compétence : Réaliser des métrés tous corps d'état et estimer un ouvrage</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2268"/>
            <w:shd w:val="clear" w:color="auto" w:fill="FFF8F0"/>
            <w:tcBorders>
              <w:left w:val="single" w:sz="16" w:color="F39200" w:space="0"/>
            </w:tcBorders>
          </w:tcPr>
          <w:p>
            <w:pPr>
              <w:spacing w:before="160" w:after="160"/>
              <w:jc w:val="center"/>
            </w:pPr>
            <w:r>
              <w:rPr>
                <w:rFonts w:ascii="Calibri" w:hAnsi="Calibri"/>
                <w:b/>
                <w:i w:val="0"/>
                <w:color w:val="F39200"/>
                <w:sz w:val="40"/>
              </w:rPr>
              <w:t>15,8 M DH HT</w:t>
            </w:r>
          </w:p>
          <w:p>
            <w:pPr>
              <w:spacing w:before="0" w:after="160"/>
              <w:jc w:val="center"/>
            </w:pPr>
            <w:r>
              <w:rPr>
                <w:rFonts w:ascii="Calibri" w:hAnsi="Calibri"/>
                <w:b w:val="0"/>
                <w:i w:val="0"/>
                <w:color w:val="2D2D2D"/>
                <w:sz w:val="16"/>
              </w:rPr>
              <w:t>Estimation validée — écart de 3,2% avec l'offre retenue</w:t>
            </w:r>
          </w:p>
        </w:tc>
        <w:tc>
          <w:tcPr>
            <w:tcW w:type="dxa" w:w="7087"/>
            <w:shd w:val="clear" w:color="auto" w:fill="FFFFFF"/>
          </w:tcPr>
          <w:p/>
          <w:p>
            <w:pPr>
              <w:spacing w:before="80" w:after="40"/>
            </w:pPr>
            <w:r>
              <w:rPr>
                <w:rFonts w:ascii="Calibri" w:hAnsi="Calibri"/>
                <w:b/>
                <w:i w:val="0"/>
                <w:color w:val="2E86C1"/>
                <w:sz w:val="18"/>
              </w:rPr>
              <w:t xml:space="preserve">C — CONTEXTE  </w:t>
            </w:r>
            <w:r>
              <w:rPr>
                <w:rFonts w:ascii="Calibri" w:hAnsi="Calibri"/>
                <w:b w:val="0"/>
                <w:i w:val="0"/>
                <w:color w:val="2D2D2D"/>
                <w:sz w:val="18"/>
              </w:rPr>
              <w:t>Pour le marché de mise à niveau d'Ouaoumana, j'ai été chargé d'établir l'estimation confidentielle de l'administration — le document qui fixe le prix plafond avant l'appel d'offres. Le périmètre : 15,8 M DH HT, soit 35% du budget global du programme. Cette estimation devait être fiable, défendable et livrée en trois semaines pour respecter la date de publication.</w:t>
            </w:r>
          </w:p>
          <w:p>
            <w:pPr>
              <w:spacing w:before="80" w:after="40"/>
            </w:pPr>
            <w:r>
              <w:rPr>
                <w:rFonts w:ascii="Calibri" w:hAnsi="Calibri"/>
                <w:b/>
                <w:i w:val="0"/>
                <w:color w:val="C0392B"/>
                <w:sz w:val="18"/>
              </w:rPr>
              <w:t xml:space="preserve">P — PROBLÈME  </w:t>
            </w:r>
            <w:r>
              <w:rPr>
                <w:rFonts w:ascii="Calibri" w:hAnsi="Calibri"/>
                <w:b w:val="0"/>
                <w:i w:val="0"/>
                <w:color w:val="2D2D2D"/>
                <w:sz w:val="18"/>
              </w:rPr>
              <w:t>Deux obstacles majeurs. D'abord, les plans d'assainissement du bureau d'études présentaient des incohérences — profils en long non calés, regards mal positionnés — ce qui faussait les métrés. Ensuite, la mercuriale de référence datait de 2014 : les prix des enrobés, des canalisations et de l'acier avaient dérivé de 15 à 22%. Impossible de chiffrer correctement sans actualiser ces données.</w:t>
            </w:r>
          </w:p>
          <w:p>
            <w:pPr>
              <w:spacing w:before="80" w:after="40"/>
            </w:pPr>
            <w:r>
              <w:rPr>
                <w:rFonts w:ascii="Calibri" w:hAnsi="Calibri"/>
                <w:b/>
                <w:i w:val="0"/>
                <w:color w:val="148F77"/>
                <w:sz w:val="18"/>
              </w:rPr>
              <w:t xml:space="preserve">A — ACTION  </w:t>
            </w:r>
            <w:r>
              <w:rPr>
                <w:rFonts w:ascii="Calibri" w:hAnsi="Calibri"/>
                <w:b w:val="0"/>
                <w:i w:val="0"/>
                <w:color w:val="2D2D2D"/>
                <w:sz w:val="18"/>
              </w:rPr>
              <w:t>J'ai structuré le travail en trois phases. Métrés d'abord : 112 lignes de prix relevées sur AutoCAD, complétées par quatre visites de terrain pour caler les altimétries manquantes. Puis la construction des prix unitaires en croisant trois sources : la mercuriale actualisée, cinq marchés similaires récemment adjugés dans la région, et huit devis fournisseurs locaux. Enfin, une relecture croisée avec un collègue avant validation par le Directeur.</w:t>
            </w:r>
          </w:p>
          <w:p>
            <w:pPr>
              <w:spacing w:before="80" w:after="40"/>
            </w:pPr>
            <w:r>
              <w:rPr>
                <w:rFonts w:ascii="Calibri" w:hAnsi="Calibri"/>
                <w:b/>
                <w:i w:val="0"/>
                <w:color w:val="CA6F1E"/>
                <w:sz w:val="18"/>
              </w:rPr>
              <w:t xml:space="preserve">R — RÉSULTAT  </w:t>
            </w:r>
            <w:r>
              <w:rPr>
                <w:rFonts w:ascii="Calibri" w:hAnsi="Calibri"/>
                <w:b w:val="0"/>
                <w:i w:val="0"/>
                <w:color w:val="2D2D2D"/>
                <w:sz w:val="18"/>
              </w:rPr>
              <w:t>L'estimation a été livrée dans le délai de trois semaines. Après ouverture des plis, l'écart avec l'offre retenue n'était que de 3,2% — bien en dessous de la marge habituelle de 5 à 10%. Le Directeur a adopté ma méthode de croisement des sources comme standard pour les trois autres communes du programme. Aucune contestation lors de la Commission d'Appel d'Offres.</w:t>
            </w:r>
          </w:p>
        </w:tc>
      </w:tr>
    </w:tbl>
    <w:p>
      <w:pPr>
        <w:spacing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1701"/>
            <w:shd w:val="clear" w:color="auto" w:fill="F39200"/>
          </w:tcPr>
          <w:p>
            <w:pPr>
              <w:spacing w:before="160" w:after="160"/>
              <w:jc w:val="center"/>
            </w:pPr>
            <w:r>
              <w:rPr>
                <w:rFonts w:ascii="Calibri" w:hAnsi="Calibri"/>
                <w:b/>
                <w:i w:val="0"/>
                <w:color w:val="FFFFFF"/>
                <w:sz w:val="18"/>
              </w:rPr>
              <w:t>SITUATION 2</w:t>
            </w:r>
          </w:p>
        </w:tc>
        <w:tc>
          <w:tcPr>
            <w:tcW w:type="dxa" w:w="7654"/>
            <w:shd w:val="clear" w:color="auto" w:fill="1E3A5F"/>
          </w:tcPr>
          <w:p>
            <w:pPr>
              <w:spacing w:before="160" w:after="80"/>
            </w:pPr>
            <w:r>
              <w:rPr>
                <w:rFonts w:ascii="Calibri" w:hAnsi="Calibri"/>
                <w:b/>
                <w:i w:val="0"/>
                <w:color w:val="FFFFFF"/>
                <w:sz w:val="22"/>
              </w:rPr>
              <w:t>Analyse des offres et Commission d'Appel d'Offres</w:t>
            </w:r>
          </w:p>
          <w:p>
            <w:pPr>
              <w:spacing w:before="0" w:after="160"/>
            </w:pPr>
            <w:r>
              <w:rPr>
                <w:rFonts w:ascii="Calibri" w:hAnsi="Calibri"/>
                <w:b w:val="0"/>
                <w:i w:val="0"/>
                <w:color w:val="AAD4F0"/>
                <w:sz w:val="17"/>
              </w:rPr>
              <w:t>Compétence : Analyser les offres et préparer la décision en commission</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2268"/>
            <w:shd w:val="clear" w:color="auto" w:fill="FFF8F0"/>
            <w:tcBorders>
              <w:left w:val="single" w:sz="16" w:color="F39200" w:space="0"/>
            </w:tcBorders>
          </w:tcPr>
          <w:p>
            <w:pPr>
              <w:spacing w:before="160" w:after="160"/>
              <w:jc w:val="center"/>
            </w:pPr>
            <w:r>
              <w:rPr>
                <w:rFonts w:ascii="Calibri" w:hAnsi="Calibri"/>
                <w:b/>
                <w:i w:val="0"/>
                <w:color w:val="F39200"/>
                <w:sz w:val="40"/>
              </w:rPr>
              <w:t>94/100</w:t>
            </w:r>
          </w:p>
          <w:p>
            <w:pPr>
              <w:spacing w:before="0" w:after="160"/>
              <w:jc w:val="center"/>
            </w:pPr>
            <w:r>
              <w:rPr>
                <w:rFonts w:ascii="Calibri" w:hAnsi="Calibri"/>
                <w:b w:val="0"/>
                <w:i w:val="0"/>
                <w:color w:val="2D2D2D"/>
                <w:sz w:val="16"/>
              </w:rPr>
              <w:t>Note de l'entreprise retenue — zéro recours</w:t>
            </w:r>
          </w:p>
        </w:tc>
        <w:tc>
          <w:tcPr>
            <w:tcW w:type="dxa" w:w="7087"/>
            <w:shd w:val="clear" w:color="auto" w:fill="FFFFFF"/>
          </w:tcPr>
          <w:p/>
          <w:p>
            <w:pPr>
              <w:spacing w:before="80" w:after="40"/>
            </w:pPr>
            <w:r>
              <w:rPr>
                <w:rFonts w:ascii="Calibri" w:hAnsi="Calibri"/>
                <w:b/>
                <w:i w:val="0"/>
                <w:color w:val="2E86C1"/>
                <w:sz w:val="18"/>
              </w:rPr>
              <w:t xml:space="preserve">C — CONTEXTE  </w:t>
            </w:r>
            <w:r>
              <w:rPr>
                <w:rFonts w:ascii="Calibri" w:hAnsi="Calibri"/>
                <w:b w:val="0"/>
                <w:i w:val="0"/>
                <w:color w:val="2D2D2D"/>
                <w:sz w:val="18"/>
              </w:rPr>
              <w:t>Trois entreprises ont répondu à l'appel d'offres. En tant que membre technique de la commission, j'étais responsable de l'analyse comparative : vérifier la conformité administrative de chaque dossier, contrôler la cohérence des prix proposés, et rédiger le rapport d'analyse qui allait fonder la décision d'attribution. Un travail qui exige rigueur et impartialité.</w:t>
            </w:r>
          </w:p>
          <w:p>
            <w:pPr>
              <w:spacing w:before="80" w:after="40"/>
            </w:pPr>
            <w:r>
              <w:rPr>
                <w:rFonts w:ascii="Calibri" w:hAnsi="Calibri"/>
                <w:b/>
                <w:i w:val="0"/>
                <w:color w:val="C0392B"/>
                <w:sz w:val="18"/>
              </w:rPr>
              <w:t xml:space="preserve">P — PROBLÈME  </w:t>
            </w:r>
            <w:r>
              <w:rPr>
                <w:rFonts w:ascii="Calibri" w:hAnsi="Calibri"/>
                <w:b w:val="0"/>
                <w:i w:val="0"/>
                <w:color w:val="2D2D2D"/>
                <w:sz w:val="18"/>
              </w:rPr>
              <w:t>Deux dossiers posaient problème. L'un contenait sept erreurs arithmétiques dans les sous-détails de prix. L'autre affichait des prix anormalement bas sur trois postes majeurs représentant 42% du montant global — des écarts de 25 à 33% par rapport aux prix du marché. Des offres de ce type, si elles sont retenues, conduisent presque toujours à des litiges en phase d'exécution.</w:t>
            </w:r>
          </w:p>
          <w:p>
            <w:pPr>
              <w:spacing w:before="80" w:after="40"/>
            </w:pPr>
            <w:r>
              <w:rPr>
                <w:rFonts w:ascii="Calibri" w:hAnsi="Calibri"/>
                <w:b/>
                <w:i w:val="0"/>
                <w:color w:val="148F77"/>
                <w:sz w:val="18"/>
              </w:rPr>
              <w:t xml:space="preserve">A — ACTION  </w:t>
            </w:r>
            <w:r>
              <w:rPr>
                <w:rFonts w:ascii="Calibri" w:hAnsi="Calibri"/>
                <w:b w:val="0"/>
                <w:i w:val="0"/>
                <w:color w:val="2D2D2D"/>
                <w:sz w:val="18"/>
              </w:rPr>
              <w:t>J'ai procédé méthodiquement. D'abord, la vérification de conformité des trois dossiers. Puis la correction arithmétique des erreurs — en appliquant la règle de primauté du prix unitaire sur le total. J'ai ensuite demandé par écrit à l'entreprise concernée de justifier ses prix bas ; sa réponse a été jugée insuffisante par la commission. Enfin, j'ai bâti une grille comparative sur les dix postes les plus lourds, avec une notation technique et financière sur 100 points.</w:t>
            </w:r>
          </w:p>
          <w:p>
            <w:pPr>
              <w:spacing w:before="80" w:after="40"/>
            </w:pPr>
            <w:r>
              <w:rPr>
                <w:rFonts w:ascii="Calibri" w:hAnsi="Calibri"/>
                <w:b/>
                <w:i w:val="0"/>
                <w:color w:val="CA6F1E"/>
                <w:sz w:val="18"/>
              </w:rPr>
              <w:t xml:space="preserve">R — RÉSULTAT  </w:t>
            </w:r>
            <w:r>
              <w:rPr>
                <w:rFonts w:ascii="Calibri" w:hAnsi="Calibri"/>
                <w:b w:val="0"/>
                <w:i w:val="0"/>
                <w:color w:val="2D2D2D"/>
                <w:sz w:val="18"/>
              </w:rPr>
              <w:t>L'entreprise la mieux notée a obtenu 94/100. L'attribution s'est faite en quinze jours, sans aucun recours déposé — signe que l'analyse était solide et transparente. Le Directeur a validé le rapport et le PV de commission sans réserve. Cette expérience m'a appris qu'une analyse rigoureuse en amont protège le maître d'ouvrage tout au long du marché.</w:t>
            </w:r>
          </w:p>
        </w:tc>
      </w:tr>
    </w:tbl>
    <w:p>
      <w:pPr>
        <w:spacing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1701"/>
            <w:shd w:val="clear" w:color="auto" w:fill="F39200"/>
          </w:tcPr>
          <w:p>
            <w:pPr>
              <w:spacing w:before="160" w:after="160"/>
              <w:jc w:val="center"/>
            </w:pPr>
            <w:r>
              <w:rPr>
                <w:rFonts w:ascii="Calibri" w:hAnsi="Calibri"/>
                <w:b/>
                <w:i w:val="0"/>
                <w:color w:val="FFFFFF"/>
                <w:sz w:val="18"/>
              </w:rPr>
              <w:t>SITUATION 3</w:t>
            </w:r>
          </w:p>
        </w:tc>
        <w:tc>
          <w:tcPr>
            <w:tcW w:type="dxa" w:w="7654"/>
            <w:shd w:val="clear" w:color="auto" w:fill="1E3A5F"/>
          </w:tcPr>
          <w:p>
            <w:pPr>
              <w:spacing w:before="160" w:after="80"/>
            </w:pPr>
            <w:r>
              <w:rPr>
                <w:rFonts w:ascii="Calibri" w:hAnsi="Calibri"/>
                <w:b/>
                <w:i w:val="0"/>
                <w:color w:val="FFFFFF"/>
                <w:sz w:val="22"/>
              </w:rPr>
              <w:t>Suivi financier et tableau de bord – Kerrouchen</w:t>
            </w:r>
          </w:p>
          <w:p>
            <w:pPr>
              <w:spacing w:before="0" w:after="160"/>
            </w:pPr>
            <w:r>
              <w:rPr>
                <w:rFonts w:ascii="Calibri" w:hAnsi="Calibri"/>
                <w:b w:val="0"/>
                <w:i w:val="0"/>
                <w:color w:val="AAD4F0"/>
                <w:sz w:val="17"/>
              </w:rPr>
              <w:t>Compétence : Suivre l'exécution financière et anticiper les dérives</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2268"/>
            <w:shd w:val="clear" w:color="auto" w:fill="FFF8F0"/>
            <w:tcBorders>
              <w:left w:val="single" w:sz="16" w:color="F39200" w:space="0"/>
            </w:tcBorders>
          </w:tcPr>
          <w:p>
            <w:pPr>
              <w:spacing w:before="160" w:after="160"/>
              <w:jc w:val="center"/>
            </w:pPr>
            <w:r>
              <w:rPr>
                <w:rFonts w:ascii="Calibri" w:hAnsi="Calibri"/>
                <w:b/>
                <w:i w:val="0"/>
                <w:color w:val="F39200"/>
                <w:sz w:val="40"/>
              </w:rPr>
              <w:t>+0,8%</w:t>
            </w:r>
          </w:p>
          <w:p>
            <w:pPr>
              <w:spacing w:before="0" w:after="160"/>
              <w:jc w:val="center"/>
            </w:pPr>
            <w:r>
              <w:rPr>
                <w:rFonts w:ascii="Calibri" w:hAnsi="Calibri"/>
                <w:b w:val="0"/>
                <w:i w:val="0"/>
                <w:color w:val="2D2D2D"/>
                <w:sz w:val="16"/>
              </w:rPr>
              <w:t>Dépassement final maîtrisé — avenant évité</w:t>
            </w:r>
          </w:p>
        </w:tc>
        <w:tc>
          <w:tcPr>
            <w:tcW w:type="dxa" w:w="7087"/>
            <w:shd w:val="clear" w:color="auto" w:fill="FFFFFF"/>
          </w:tcPr>
          <w:p/>
          <w:p>
            <w:pPr>
              <w:spacing w:before="80" w:after="40"/>
            </w:pPr>
            <w:r>
              <w:rPr>
                <w:rFonts w:ascii="Calibri" w:hAnsi="Calibri"/>
                <w:b/>
                <w:i w:val="0"/>
                <w:color w:val="2E86C1"/>
                <w:sz w:val="18"/>
              </w:rPr>
              <w:t xml:space="preserve">C — CONTEXTE  </w:t>
            </w:r>
            <w:r>
              <w:rPr>
                <w:rFonts w:ascii="Calibri" w:hAnsi="Calibri"/>
                <w:b w:val="0"/>
                <w:i w:val="0"/>
                <w:color w:val="2D2D2D"/>
                <w:sz w:val="18"/>
              </w:rPr>
              <w:t>Le chantier de Kerrouchen représentait 7,3 M DH sur 18 mois. J'assurais le suivi mensuel complet : vérification des situations de travaux présentées par l'entreprise, contrôle des quantités réellement exécutées, et transmission des décomptes au Directeur. La découverte d'un terrain rocheux imprévu en cours de chantier a rendu ce suivi particulièrement critique.</w:t>
            </w:r>
          </w:p>
          <w:p>
            <w:pPr>
              <w:spacing w:before="80" w:after="40"/>
            </w:pPr>
            <w:r>
              <w:rPr>
                <w:rFonts w:ascii="Calibri" w:hAnsi="Calibri"/>
                <w:b/>
                <w:i w:val="0"/>
                <w:color w:val="C0392B"/>
                <w:sz w:val="18"/>
              </w:rPr>
              <w:t xml:space="preserve">P — PROBLÈME  </w:t>
            </w:r>
            <w:r>
              <w:rPr>
                <w:rFonts w:ascii="Calibri" w:hAnsi="Calibri"/>
                <w:b w:val="0"/>
                <w:i w:val="0"/>
                <w:color w:val="2D2D2D"/>
                <w:sz w:val="18"/>
              </w:rPr>
              <w:t>À mi-parcours, deux postes dérapaient : la chaussée à +12% à cause du terrassement rocheux, et les murs à +15% en raison de fondations plus profondes que prévu. En extrapolant, le dépassement global atteignait +4,8%, soit 349 000 DH. Dépasser le seuil de 5% aurait imposé un avenant — trois à six mois de procédure administrative, avec un risque d'arrêt du chantier.</w:t>
            </w:r>
          </w:p>
          <w:p>
            <w:pPr>
              <w:spacing w:before="80" w:after="40"/>
            </w:pPr>
            <w:r>
              <w:rPr>
                <w:rFonts w:ascii="Calibri" w:hAnsi="Calibri"/>
                <w:b/>
                <w:i w:val="0"/>
                <w:color w:val="148F77"/>
                <w:sz w:val="18"/>
              </w:rPr>
              <w:t xml:space="preserve">A — ACTION  </w:t>
            </w:r>
            <w:r>
              <w:rPr>
                <w:rFonts w:ascii="Calibri" w:hAnsi="Calibri"/>
                <w:b w:val="0"/>
                <w:i w:val="0"/>
                <w:color w:val="2D2D2D"/>
                <w:sz w:val="18"/>
              </w:rPr>
              <w:t>J'ai mis en place un tableau de bord hebdomadaire à trois indicateurs : avancement physique, consommation budgétaire et écart prévisionnel. Chaque poste critique faisait l'objet d'un attachement contradictoire sur le terrain. Pour absorber la dérive, j'ai proposé au Directeur un mécanisme de compensation : réduire les prestations paysagères et le mobilier urbain, libérant 56 000 DH de marge. Un arbitrage pragmatique, validé sans difficulté.</w:t>
            </w:r>
          </w:p>
          <w:p>
            <w:pPr>
              <w:spacing w:before="80" w:after="40"/>
            </w:pPr>
            <w:r>
              <w:rPr>
                <w:rFonts w:ascii="Calibri" w:hAnsi="Calibri"/>
                <w:b/>
                <w:i w:val="0"/>
                <w:color w:val="CA6F1E"/>
                <w:sz w:val="18"/>
              </w:rPr>
              <w:t xml:space="preserve">R — RÉSULTAT  </w:t>
            </w:r>
            <w:r>
              <w:rPr>
                <w:rFonts w:ascii="Calibri" w:hAnsi="Calibri"/>
                <w:b w:val="0"/>
                <w:i w:val="0"/>
                <w:color w:val="2D2D2D"/>
                <w:sz w:val="18"/>
              </w:rPr>
              <w:t>Dépassement final ramené à +0,8% — soit 292 000 DH sous le seuil d'avenant. Le chantier s'est terminé sans procédure supplémentaire. Mon tableau de bord a ensuite été répliqué sur les trois autres communes du programme et adopté comme outil de référence par l'Agence. C'est cette situation qui m'a convaincu de l'importance d'un pilotage financier en temps réel.</w:t>
            </w:r>
          </w:p>
        </w:tc>
      </w:tr>
    </w:tbl>
    <w:p>
      <w:pPr>
        <w:spacing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1701"/>
            <w:shd w:val="clear" w:color="auto" w:fill="F39200"/>
          </w:tcPr>
          <w:p>
            <w:pPr>
              <w:spacing w:before="160" w:after="160"/>
              <w:jc w:val="center"/>
            </w:pPr>
            <w:r>
              <w:rPr>
                <w:rFonts w:ascii="Calibri" w:hAnsi="Calibri"/>
                <w:b/>
                <w:i w:val="0"/>
                <w:color w:val="FFFFFF"/>
                <w:sz w:val="18"/>
              </w:rPr>
              <w:t>SITUATION 4</w:t>
            </w:r>
          </w:p>
        </w:tc>
        <w:tc>
          <w:tcPr>
            <w:tcW w:type="dxa" w:w="7654"/>
            <w:shd w:val="clear" w:color="auto" w:fill="1E3A5F"/>
          </w:tcPr>
          <w:p>
            <w:pPr>
              <w:spacing w:before="160" w:after="80"/>
            </w:pPr>
            <w:r>
              <w:rPr>
                <w:rFonts w:ascii="Calibri" w:hAnsi="Calibri"/>
                <w:b/>
                <w:i w:val="0"/>
                <w:color w:val="FFFFFF"/>
                <w:sz w:val="22"/>
              </w:rPr>
              <w:t>Communication et coordination de 4 chantiers simultanés</w:t>
            </w:r>
          </w:p>
          <w:p>
            <w:pPr>
              <w:spacing w:before="0" w:after="160"/>
            </w:pPr>
            <w:r>
              <w:rPr>
                <w:rFonts w:ascii="Calibri" w:hAnsi="Calibri"/>
                <w:b w:val="0"/>
                <w:i w:val="0"/>
                <w:color w:val="AAD4F0"/>
                <w:sz w:val="17"/>
              </w:rPr>
              <w:t>Compétence : Communiquer et coordonner en contexte multi-sites</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2268"/>
            <w:shd w:val="clear" w:color="auto" w:fill="FFF8F0"/>
            <w:tcBorders>
              <w:left w:val="single" w:sz="16" w:color="F39200" w:space="0"/>
            </w:tcBorders>
          </w:tcPr>
          <w:p>
            <w:pPr>
              <w:spacing w:before="160" w:after="160"/>
              <w:jc w:val="center"/>
            </w:pPr>
            <w:r>
              <w:rPr>
                <w:rFonts w:ascii="Calibri" w:hAnsi="Calibri"/>
                <w:b/>
                <w:i w:val="0"/>
                <w:color w:val="F39200"/>
                <w:sz w:val="40"/>
              </w:rPr>
              <w:t>4 sites</w:t>
            </w:r>
          </w:p>
          <w:p>
            <w:pPr>
              <w:spacing w:before="0" w:after="160"/>
              <w:jc w:val="center"/>
            </w:pPr>
            <w:r>
              <w:rPr>
                <w:rFonts w:ascii="Calibri" w:hAnsi="Calibri"/>
                <w:b w:val="0"/>
                <w:i w:val="0"/>
                <w:color w:val="2D2D2D"/>
                <w:sz w:val="16"/>
              </w:rPr>
              <w:t>Coordonnés en parallèle — 3 crises résolues en 48h</w:t>
            </w:r>
          </w:p>
        </w:tc>
        <w:tc>
          <w:tcPr>
            <w:tcW w:type="dxa" w:w="7087"/>
            <w:shd w:val="clear" w:color="auto" w:fill="FFFFFF"/>
          </w:tcPr>
          <w:p/>
          <w:p>
            <w:pPr>
              <w:spacing w:before="80" w:after="40"/>
            </w:pPr>
            <w:r>
              <w:rPr>
                <w:rFonts w:ascii="Calibri" w:hAnsi="Calibri"/>
                <w:b/>
                <w:i w:val="0"/>
                <w:color w:val="2E86C1"/>
                <w:sz w:val="18"/>
              </w:rPr>
              <w:t xml:space="preserve">C — CONTEXTE  </w:t>
            </w:r>
            <w:r>
              <w:rPr>
                <w:rFonts w:ascii="Calibri" w:hAnsi="Calibri"/>
                <w:b w:val="0"/>
                <w:i w:val="0"/>
                <w:color w:val="2D2D2D"/>
                <w:sz w:val="18"/>
              </w:rPr>
              <w:t>J'étais le relais unique du Directeur pour quatre chantiers VRD répartis sur la province de Khénifra, distants de 20 à 80 km. Au quotidien, je faisais l'interface entre l'entreprise, le bureau d'études, le laboratoire de contrôle et la hiérarchie régionale. Chaque décision devait être tracée par écrit — un réflexe qui s'est avéré déterminant.</w:t>
            </w:r>
          </w:p>
          <w:p>
            <w:pPr>
              <w:spacing w:before="80" w:after="40"/>
            </w:pPr>
            <w:r>
              <w:rPr>
                <w:rFonts w:ascii="Calibri" w:hAnsi="Calibri"/>
                <w:b/>
                <w:i w:val="0"/>
                <w:color w:val="C0392B"/>
                <w:sz w:val="18"/>
              </w:rPr>
              <w:t xml:space="preserve">P — PROBLÈME  </w:t>
            </w:r>
            <w:r>
              <w:rPr>
                <w:rFonts w:ascii="Calibri" w:hAnsi="Calibri"/>
                <w:b w:val="0"/>
                <w:i w:val="0"/>
                <w:color w:val="2D2D2D"/>
                <w:sz w:val="18"/>
              </w:rPr>
              <w:t>La semaine 23, tout s'est accéléré. Trois crises simultanées : un retard de livraison des enrobés à Ouaoumana, une alerte météo nécessitant l'arrêt du chantier à Kerrouchen, et un litige sur les quantités de bordures à Sebt Ait Rahou — 15% d'écart entre ce que l'entreprise déclarait et ce qui était réellement posé. Le paiement mensuel était bloqué.</w:t>
            </w:r>
          </w:p>
          <w:p>
            <w:pPr>
              <w:spacing w:before="80" w:after="40"/>
            </w:pPr>
            <w:r>
              <w:rPr>
                <w:rFonts w:ascii="Calibri" w:hAnsi="Calibri"/>
                <w:b/>
                <w:i w:val="0"/>
                <w:color w:val="148F77"/>
                <w:sz w:val="18"/>
              </w:rPr>
              <w:t xml:space="preserve">A — ACTION  </w:t>
            </w:r>
            <w:r>
              <w:rPr>
                <w:rFonts w:ascii="Calibri" w:hAnsi="Calibri"/>
                <w:b w:val="0"/>
                <w:i w:val="0"/>
                <w:color w:val="2D2D2D"/>
                <w:sz w:val="18"/>
              </w:rPr>
              <w:t>J'ai traité les trois fronts en 48 heures. Pour le retard d'enrobés, j'ai rédigé une note factuelle au Directeur avec un planning de rattrapage. Pour l'arrêt météo, j'ai émis l'ordre de service dès le lendemain avec photos datées à l'appui. Pour le litige bordures, je me suis déplacé sur place pour un re-mesurage contradictoire complet. En parallèle, un point quotidien à 8h avec les quatre chefs de chantier et un compte-rendu consolidé sous 24 heures.</w:t>
            </w:r>
          </w:p>
          <w:p>
            <w:pPr>
              <w:spacing w:before="80" w:after="40"/>
            </w:pPr>
            <w:r>
              <w:rPr>
                <w:rFonts w:ascii="Calibri" w:hAnsi="Calibri"/>
                <w:b/>
                <w:i w:val="0"/>
                <w:color w:val="CA6F1E"/>
                <w:sz w:val="18"/>
              </w:rPr>
              <w:t xml:space="preserve">R — RÉSULTAT  </w:t>
            </w:r>
            <w:r>
              <w:rPr>
                <w:rFonts w:ascii="Calibri" w:hAnsi="Calibri"/>
                <w:b w:val="0"/>
                <w:i w:val="0"/>
                <w:color w:val="2D2D2D"/>
                <w:sz w:val="18"/>
              </w:rPr>
              <w:t>Le retard enrobés a été rattrapé en deux semaines. L'arrêt chantier a été formalisé proprement, la reprise ordonnée. L'écart sur les bordures est tombé de 15% à 2,3%, débloquant le paiement. À la suite de cet épisode, le Directeur m'a confié la rédaction systématique de tous les ordres de service et comptes-rendus. Le modèle que j'avais créé a été adopté pour l'ensemble des marchés de l'Agence.</w:t>
            </w:r>
          </w:p>
        </w:tc>
      </w:tr>
    </w:tbl>
    <w:p>
      <w:pPr>
        <w:spacing w:after="120"/>
      </w:pPr>
    </w:p>
    <w:p>
      <w:pPr>
        <w:spacing w:before="360" w:after="120"/>
      </w:pPr>
      <w:r>
        <w:rPr>
          <w:rFonts w:ascii="Calibri" w:hAnsi="Calibri"/>
          <w:b/>
          <w:i w:val="0"/>
          <w:color w:val="2E86C1"/>
          <w:sz w:val="24"/>
        </w:rPr>
        <w:t>2.4 Difficultés rencontrées et solutions apportées</w:t>
      </w:r>
    </w:p>
    <w:tbl>
      <w:tblPr>
        <w:tblW w:type="auto" w:w="0"/>
        <w:tblLook w:firstColumn="1" w:firstRow="1" w:lastColumn="0" w:lastRow="0" w:noHBand="0" w:noVBand="1" w:val="04A0"/>
        <w:tblBorders>
          <w:top w:val="none"/>
          <w:left w:val="none"/>
          <w:bottom w:val="none"/>
          <w:right w:val="none"/>
          <w:insideH w:val="none"/>
          <w:insideV w:val="none"/>
        </w:tblBorders>
      </w:tblPr>
      <w:tblGrid>
        <w:gridCol w:w="3118"/>
        <w:gridCol w:w="3118"/>
        <w:gridCol w:w="3118"/>
      </w:tblGrid>
      <w:tr>
        <w:tc>
          <w:tcPr>
            <w:tcW w:type="dxa" w:w="1984"/>
            <w:shd w:val="clear" w:color="auto" w:fill="F39200"/>
          </w:tcPr>
          <w:p>
            <w:pPr>
              <w:spacing w:before="80" w:after="80"/>
              <w:jc w:val="center"/>
            </w:pPr>
            <w:r>
              <w:rPr>
                <w:rFonts w:ascii="Calibri" w:hAnsi="Calibri"/>
                <w:b/>
                <w:i w:val="0"/>
                <w:color w:val="FFFFFF"/>
                <w:sz w:val="17"/>
              </w:rPr>
              <w:t>Défi</w:t>
            </w:r>
          </w:p>
        </w:tc>
        <w:tc>
          <w:tcPr>
            <w:tcW w:type="dxa" w:w="3685"/>
            <w:shd w:val="clear" w:color="auto" w:fill="F39200"/>
          </w:tcPr>
          <w:p>
            <w:pPr>
              <w:spacing w:before="80" w:after="80"/>
              <w:jc w:val="center"/>
            </w:pPr>
            <w:r>
              <w:rPr>
                <w:rFonts w:ascii="Calibri" w:hAnsi="Calibri"/>
                <w:b/>
                <w:i w:val="0"/>
                <w:color w:val="FFFFFF"/>
                <w:sz w:val="17"/>
              </w:rPr>
              <w:t>Problème rencontré</w:t>
            </w:r>
          </w:p>
        </w:tc>
        <w:tc>
          <w:tcPr>
            <w:tcW w:type="dxa" w:w="3685"/>
            <w:shd w:val="clear" w:color="auto" w:fill="F39200"/>
          </w:tcPr>
          <w:p>
            <w:pPr>
              <w:spacing w:before="80" w:after="80"/>
              <w:jc w:val="center"/>
            </w:pPr>
            <w:r>
              <w:rPr>
                <w:rFonts w:ascii="Calibri" w:hAnsi="Calibri"/>
                <w:b/>
                <w:i w:val="0"/>
                <w:color w:val="FFFFFF"/>
                <w:sz w:val="17"/>
              </w:rPr>
              <w:t>Solution apportée</w:t>
            </w:r>
          </w:p>
        </w:tc>
      </w:tr>
      <w:tr>
        <w:tc>
          <w:tcPr>
            <w:tcW w:type="dxa" w:w="1984"/>
            <w:shd w:val="clear" w:color="auto" w:fill="F0F4F8"/>
            <w:tcBorders>
              <w:bottom w:val="single" w:sz="4" w:color="DDDDDD" w:space="0"/>
            </w:tcBorders>
          </w:tcPr>
          <w:p>
            <w:pPr>
              <w:spacing w:before="60" w:after="60"/>
            </w:pPr>
            <w:r>
              <w:rPr>
                <w:rFonts w:ascii="Calibri" w:hAnsi="Calibri"/>
                <w:b w:val="0"/>
                <w:i w:val="0"/>
                <w:color w:val="2D2D2D"/>
                <w:sz w:val="18"/>
              </w:rPr>
              <w:t>8 parties techniques</w:t>
            </w:r>
          </w:p>
        </w:tc>
        <w:tc>
          <w:tcPr>
            <w:tcW w:type="dxa" w:w="3685"/>
            <w:shd w:val="clear" w:color="auto" w:fill="F0F4F8"/>
            <w:tcBorders>
              <w:bottom w:val="single" w:sz="4" w:color="DDDDDD" w:space="0"/>
            </w:tcBorders>
          </w:tcPr>
          <w:p>
            <w:pPr>
              <w:spacing w:before="60" w:after="60"/>
            </w:pPr>
            <w:r>
              <w:rPr>
                <w:rFonts w:ascii="Calibri" w:hAnsi="Calibri"/>
                <w:b w:val="0"/>
                <w:i w:val="0"/>
                <w:color w:val="2D2D2D"/>
                <w:sz w:val="18"/>
              </w:rPr>
              <w:t>Les interdépendances entre corps d'état imposaient un séquençage rigoureux : assainissement terminé avant chaussée, éclairage avant trottoirs, murs de soutènement avant terrassement. Sur 4 communes simultanées, le moindre retard sur un poste créait un effet domino sur les suivants. La dispersion géographique (20 à 80 km) rendait le contrôle quotidien de chaque site impossible. 32 lignes de suivi à tenir en parallèle — sans outil consolidé, les écarts auraient été invisibles.</w:t>
            </w:r>
          </w:p>
        </w:tc>
        <w:tc>
          <w:tcPr>
            <w:tcW w:type="dxa" w:w="3685"/>
            <w:shd w:val="clear" w:color="auto" w:fill="F0F4F8"/>
            <w:tcBorders>
              <w:bottom w:val="single" w:sz="4" w:color="DDDDDD" w:space="0"/>
            </w:tcBorders>
          </w:tcPr>
          <w:p>
            <w:pPr>
              <w:spacing w:before="60" w:after="60"/>
            </w:pPr>
            <w:r>
              <w:rPr>
                <w:rFonts w:ascii="Calibri" w:hAnsi="Calibri"/>
                <w:b w:val="0"/>
                <w:i w:val="0"/>
                <w:color w:val="2D2D2D"/>
                <w:sz w:val="18"/>
              </w:rPr>
              <w:t>Tableau de bord Excel consolidé (8 parties × 4 communes) avec avancement physique et financier hebdomadaire. Jalons critiques identifiés par poste et par commune. Réunion de coordination mensuelle avec l'entreprise et le BET. CR transmis sous 24h au Directeur après chaque visite. Ce dispositif a permis de détecter les dérives dès le premier mois — et d'agir avant le seuil d'avenant.</w:t>
            </w:r>
          </w:p>
        </w:tc>
      </w:tr>
      <w:tr>
        <w:tc>
          <w:tcPr>
            <w:tcW w:type="dxa" w:w="1984"/>
            <w:shd w:val="clear" w:color="auto" w:fill="FFFFFF"/>
            <w:tcBorders>
              <w:bottom w:val="single" w:sz="4" w:color="DDDDDD" w:space="0"/>
            </w:tcBorders>
          </w:tcPr>
          <w:p>
            <w:pPr>
              <w:spacing w:before="60" w:after="60"/>
            </w:pPr>
            <w:r>
              <w:rPr>
                <w:rFonts w:ascii="Calibri" w:hAnsi="Calibri"/>
                <w:b w:val="0"/>
                <w:i w:val="0"/>
                <w:color w:val="2D2D2D"/>
                <w:sz w:val="18"/>
              </w:rPr>
              <w:t>Terrain rocheux imprévu</w:t>
            </w:r>
          </w:p>
        </w:tc>
        <w:tc>
          <w:tcPr>
            <w:tcW w:type="dxa" w:w="3685"/>
            <w:shd w:val="clear" w:color="auto" w:fill="FFFFFF"/>
            <w:tcBorders>
              <w:bottom w:val="single" w:sz="4" w:color="DDDDDD" w:space="0"/>
            </w:tcBorders>
          </w:tcPr>
          <w:p>
            <w:pPr>
              <w:spacing w:before="60" w:after="60"/>
            </w:pPr>
            <w:r>
              <w:rPr>
                <w:rFonts w:ascii="Calibri" w:hAnsi="Calibri"/>
                <w:b w:val="0"/>
                <w:i w:val="0"/>
                <w:color w:val="2D2D2D"/>
                <w:sz w:val="18"/>
              </w:rPr>
              <w:t>L'étude géotechnique n'avait pas identifié le sous-sol réel. À Kerrouchen, dès le PK 4+200, le terrassement a révélé du calcaire fracturé — coût 85 DH/m³ vs 28 DH/m³ pour les déblais ordinaires. Surcoût immédiat sur la chaussée : +12%, soit 87 600 DH. Le seuil d'avenant étant à 5% du montant global, ce seul poste menaçait d'y contraindre l'Agence. Un avenant aurait signifié 3 à 6 mois de procédure administrative et un blocage des paiements.</w:t>
            </w:r>
          </w:p>
        </w:tc>
        <w:tc>
          <w:tcPr>
            <w:tcW w:type="dxa" w:w="3685"/>
            <w:shd w:val="clear" w:color="auto" w:fill="FFFFFF"/>
            <w:tcBorders>
              <w:bottom w:val="single" w:sz="4" w:color="DDDDDD" w:space="0"/>
            </w:tcBorders>
          </w:tcPr>
          <w:p>
            <w:pPr>
              <w:spacing w:before="60" w:after="60"/>
            </w:pPr>
            <w:r>
              <w:rPr>
                <w:rFonts w:ascii="Calibri" w:hAnsi="Calibri"/>
                <w:b w:val="0"/>
                <w:i w:val="0"/>
                <w:color w:val="2D2D2D"/>
                <w:sz w:val="18"/>
              </w:rPr>
              <w:t>Attachements contradictoires à chaque découverte de terrain rocheux, avec photos datées géolocalisées. Reclassification documentée et formalisée. Mécanisme de compensation inter-postes proposé au Directeur : réduction des prestations paysagères (–44 000 DH) et du mobilier urbain (–12 000 DH), libérant 56 000 DH de marge. Résultat : dépassement de Kerrouchen ramené à +0,8% — sans avenant.</w:t>
            </w:r>
          </w:p>
        </w:tc>
      </w:tr>
      <w:tr>
        <w:tc>
          <w:tcPr>
            <w:tcW w:type="dxa" w:w="1984"/>
            <w:shd w:val="clear" w:color="auto" w:fill="F0F4F8"/>
            <w:tcBorders>
              <w:bottom w:val="single" w:sz="4" w:color="DDDDDD" w:space="0"/>
            </w:tcBorders>
          </w:tcPr>
          <w:p>
            <w:pPr>
              <w:spacing w:before="60" w:after="60"/>
            </w:pPr>
            <w:r>
              <w:rPr>
                <w:rFonts w:ascii="Calibri" w:hAnsi="Calibri"/>
                <w:b w:val="0"/>
                <w:i w:val="0"/>
                <w:color w:val="2D2D2D"/>
                <w:sz w:val="18"/>
              </w:rPr>
              <w:t>4 chantiers simultanés</w:t>
            </w:r>
          </w:p>
        </w:tc>
        <w:tc>
          <w:tcPr>
            <w:tcW w:type="dxa" w:w="3685"/>
            <w:shd w:val="clear" w:color="auto" w:fill="F0F4F8"/>
            <w:tcBorders>
              <w:bottom w:val="single" w:sz="4" w:color="DDDDDD" w:space="0"/>
            </w:tcBorders>
          </w:tcPr>
          <w:p>
            <w:pPr>
              <w:spacing w:before="60" w:after="60"/>
            </w:pPr>
            <w:r>
              <w:rPr>
                <w:rFonts w:ascii="Calibri" w:hAnsi="Calibri"/>
                <w:b w:val="0"/>
                <w:i w:val="0"/>
                <w:color w:val="2D2D2D"/>
                <w:sz w:val="18"/>
              </w:rPr>
              <w:t>Un seul technicien pour le suivi de 4 chantiers distants de 20 à 80 km. Chaque site avait ses propres aléas, ses propres équipes, son propre avancement. En semaine 23 : 3 crises simultanées — retard de livraison des enrobés à Ouaoumana, alerte météo nécessitant un arrêt à Kerrouchen, litige sur les quantités de bordures à Sebt Ait Rahou (–15% d'écart contesté par l'entreprise). Le paiement mensuel était bloqué.</w:t>
            </w:r>
          </w:p>
        </w:tc>
        <w:tc>
          <w:tcPr>
            <w:tcW w:type="dxa" w:w="3685"/>
            <w:shd w:val="clear" w:color="auto" w:fill="F0F4F8"/>
            <w:tcBorders>
              <w:bottom w:val="single" w:sz="4" w:color="DDDDDD" w:space="0"/>
            </w:tcBorders>
          </w:tcPr>
          <w:p>
            <w:pPr>
              <w:spacing w:before="60" w:after="60"/>
            </w:pPr>
            <w:r>
              <w:rPr>
                <w:rFonts w:ascii="Calibri" w:hAnsi="Calibri"/>
                <w:b w:val="0"/>
                <w:i w:val="0"/>
                <w:color w:val="2D2D2D"/>
                <w:sz w:val="18"/>
              </w:rPr>
              <w:t>Planning tournant de visites (1 site/jour, rotation hebdomadaire). Point téléphonique quotidien à 8h avec les 4 chefs de chantier. CR consolidé transmis sous 24h au Directeur. Semaine 23 : 3 fronts traités en 48h — note factuelle Directeur, OS d'arrêt avec photos datées, re-mesurage contradictoire sur place pour le litige bordures (écart ramené de 15% à 2,3%). Le modèle de CR créé dans l'urgence a ensuite été adopté comme standard par l'Agence.</w:t>
            </w:r>
          </w:p>
        </w:tc>
      </w:tr>
      <w:tr>
        <w:tc>
          <w:tcPr>
            <w:tcW w:type="dxa" w:w="1984"/>
            <w:shd w:val="clear" w:color="auto" w:fill="FFFFFF"/>
            <w:tcBorders>
              <w:bottom w:val="single" w:sz="4" w:color="DDDDDD" w:space="0"/>
            </w:tcBorders>
          </w:tcPr>
          <w:p>
            <w:pPr>
              <w:spacing w:before="60" w:after="60"/>
            </w:pPr>
            <w:r>
              <w:rPr>
                <w:rFonts w:ascii="Calibri" w:hAnsi="Calibri"/>
                <w:b w:val="0"/>
                <w:i w:val="0"/>
                <w:color w:val="2D2D2D"/>
                <w:sz w:val="18"/>
              </w:rPr>
              <w:t>Écarts de quantités</w:t>
            </w:r>
          </w:p>
        </w:tc>
        <w:tc>
          <w:tcPr>
            <w:tcW w:type="dxa" w:w="3685"/>
            <w:shd w:val="clear" w:color="auto" w:fill="FFFFFF"/>
            <w:tcBorders>
              <w:bottom w:val="single" w:sz="4" w:color="DDDDDD" w:space="0"/>
            </w:tcBorders>
          </w:tcPr>
          <w:p>
            <w:pPr>
              <w:spacing w:before="60" w:after="60"/>
            </w:pPr>
            <w:r>
              <w:rPr>
                <w:rFonts w:ascii="Calibri" w:hAnsi="Calibri"/>
                <w:b w:val="0"/>
                <w:i w:val="0"/>
                <w:color w:val="2D2D2D"/>
                <w:sz w:val="18"/>
              </w:rPr>
              <w:t>Les différences entre le BPDE initial et les quantités réellement exécutées atteignaient +15% sur les bordures à Sebt Ait Rahou et +12% sur la chaussée à Kerrouchen. Ces écarts résultaient de plans imprécis et de conditions de terrain non anticipées. En extrapolant les dérives à mi-chantier, le dépassement global atteignait +4,8% — juste sous le seuil d'avenant de 5%, mais sans marge de sécurité. Un dépassement de ce seuil aurait bloqué les paiements pendant 3 à 6 mois.</w:t>
            </w:r>
          </w:p>
        </w:tc>
        <w:tc>
          <w:tcPr>
            <w:tcW w:type="dxa" w:w="3685"/>
            <w:shd w:val="clear" w:color="auto" w:fill="FFFFFF"/>
            <w:tcBorders>
              <w:bottom w:val="single" w:sz="4" w:color="DDDDDD" w:space="0"/>
            </w:tcBorders>
          </w:tcPr>
          <w:p>
            <w:pPr>
              <w:spacing w:before="60" w:after="60"/>
            </w:pPr>
            <w:r>
              <w:rPr>
                <w:rFonts w:ascii="Calibri" w:hAnsi="Calibri"/>
                <w:b w:val="0"/>
                <w:i w:val="0"/>
                <w:color w:val="2D2D2D"/>
                <w:sz w:val="18"/>
              </w:rPr>
              <w:t>Veille continue via le tableau de bord hebdomadaire — tous les postes suivis, pas seulement les critiques. Identification des postes compensatoires (ceux exécutés en dessous du BPDE). Proposition formelle au Directeur : réduction Paysager (–44 000 DH) + Mobilier (–12 000 DH) = 56 000 DH de marge dégagée. Dépassement final de Kerrouchen : +0,8%. Méthode adoptée comme standard pour les 3 autres communes dès la S24.</w:t>
            </w:r>
          </w:p>
        </w:tc>
      </w:tr>
    </w:tbl>
    <w:p>
      <w:pPr>
        <w:spacing w:after="160"/>
      </w:pPr>
    </w:p>
    <w:p>
      <w:r>
        <w:b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4"/>
            <w:shd w:val="clear" w:color="auto" w:fill="5CC8C0"/>
          </w:tcPr>
          <w:p>
            <w:pPr>
              <w:spacing w:before="160" w:after="160"/>
              <w:jc w:val="left"/>
            </w:pPr>
            <w:r>
              <w:rPr>
                <w:rFonts w:ascii="Calibri" w:hAnsi="Calibri"/>
                <w:b/>
                <w:i w:val="0"/>
                <w:color w:val="FFFFFF"/>
                <w:sz w:val="32"/>
              </w:rPr>
              <w:t>03 — PROJET 2 : ROUTE LEHRI-KERROUCHEN</w:t>
            </w:r>
          </w:p>
          <w:p>
            <w:pPr>
              <w:spacing w:before="40" w:after="120"/>
              <w:jc w:val="left"/>
            </w:pPr>
            <w:r>
              <w:rPr>
                <w:rFonts w:ascii="Calibri" w:hAnsi="Calibri"/>
                <w:b w:val="0"/>
                <w:i w:val="0"/>
                <w:color w:val="CCE5F5"/>
                <w:sz w:val="18"/>
              </w:rPr>
              <w:t>29 M DH TTC — 25 km en zone montagneuse — Programme PRR3</w:t>
            </w:r>
          </w:p>
        </w:tc>
      </w:tr>
    </w:tbl>
    <w:p/>
    <w:p>
      <w:pPr>
        <w:spacing w:before="360" w:after="120"/>
      </w:pPr>
      <w:r>
        <w:rPr>
          <w:rFonts w:ascii="Calibri" w:hAnsi="Calibri"/>
          <w:b/>
          <w:i w:val="0"/>
          <w:color w:val="2E86C1"/>
          <w:sz w:val="26"/>
        </w:rPr>
        <w:t>3.1 Fiche d'identité du projet</w:t>
      </w:r>
    </w:p>
    <w:p>
      <w:pPr>
        <w:spacing w:before="0" w:after="120"/>
        <w:jc w:val="both"/>
      </w:pPr>
      <w:r>
        <w:rPr>
          <w:rFonts w:ascii="Calibri" w:hAnsi="Calibri"/>
          <w:b w:val="0"/>
          <w:i w:val="0"/>
          <w:color w:val="2D2D2D"/>
          <w:sz w:val="21"/>
        </w:rPr>
        <w:t>La construction de la route nationale communale (RNC) reliant Lehri et Kerrouchen s'inscrit dans le Programme National des Routes Rurales (PRR3), visant à désenclaver les zones rurales du Moyen Atlas. Le tracé de 25 km traverse un terrain accidenté avec un dénivelé cumulé de 400 m et des pentes atteignant 12% en lacets. Le marché n°46-RBK-2017 comprend 53 prix sur trois sections : linéaire principal (23 prix), carrefour (11 prix) et bretelles (19 prix).</w:t>
      </w:r>
    </w:p>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3118"/>
            <w:shd w:val="clear" w:color="auto" w:fill="F0F4F8"/>
          </w:tcPr>
          <w:p>
            <w:pPr>
              <w:spacing w:before="80" w:after="80"/>
            </w:pPr>
            <w:r>
              <w:rPr>
                <w:rFonts w:ascii="Calibri" w:hAnsi="Calibri"/>
                <w:b/>
                <w:i w:val="0"/>
                <w:color w:val="1E3A5F"/>
                <w:sz w:val="19"/>
              </w:rPr>
              <w:t>Marché</w:t>
            </w:r>
          </w:p>
        </w:tc>
        <w:tc>
          <w:tcPr>
            <w:tcW w:type="dxa" w:w="6236"/>
            <w:shd w:val="clear" w:color="auto" w:fill="F0F4F8"/>
          </w:tcPr>
          <w:p>
            <w:pPr>
              <w:spacing w:before="80" w:after="80"/>
            </w:pPr>
            <w:r>
              <w:rPr>
                <w:rFonts w:ascii="Calibri" w:hAnsi="Calibri"/>
                <w:b w:val="0"/>
                <w:i w:val="0"/>
                <w:color w:val="2D2D2D"/>
                <w:sz w:val="19"/>
              </w:rPr>
              <w:t>n°46-RBK-2017 – Programme PRR3</w:t>
            </w:r>
          </w:p>
        </w:tc>
      </w:tr>
      <w:tr>
        <w:tc>
          <w:tcPr>
            <w:tcW w:type="dxa" w:w="3118"/>
            <w:shd w:val="clear" w:color="auto" w:fill="FFFFFF"/>
          </w:tcPr>
          <w:p>
            <w:pPr>
              <w:spacing w:before="80" w:after="80"/>
            </w:pPr>
            <w:r>
              <w:rPr>
                <w:rFonts w:ascii="Calibri" w:hAnsi="Calibri"/>
                <w:b/>
                <w:i w:val="0"/>
                <w:color w:val="1E3A5F"/>
                <w:sz w:val="19"/>
              </w:rPr>
              <w:t>Nature</w:t>
            </w:r>
          </w:p>
        </w:tc>
        <w:tc>
          <w:tcPr>
            <w:tcW w:type="dxa" w:w="6236"/>
            <w:shd w:val="clear" w:color="auto" w:fill="FFFFFF"/>
          </w:tcPr>
          <w:p>
            <w:pPr>
              <w:spacing w:before="80" w:after="80"/>
            </w:pPr>
            <w:r>
              <w:rPr>
                <w:rFonts w:ascii="Calibri" w:hAnsi="Calibri"/>
                <w:b w:val="0"/>
                <w:i w:val="0"/>
                <w:color w:val="2D2D2D"/>
                <w:sz w:val="19"/>
              </w:rPr>
              <w:t>Route rurale en zone montagneuse</w:t>
            </w:r>
          </w:p>
        </w:tc>
      </w:tr>
      <w:tr>
        <w:tc>
          <w:tcPr>
            <w:tcW w:type="dxa" w:w="3118"/>
            <w:shd w:val="clear" w:color="auto" w:fill="F0F4F8"/>
          </w:tcPr>
          <w:p>
            <w:pPr>
              <w:spacing w:before="80" w:after="80"/>
            </w:pPr>
            <w:r>
              <w:rPr>
                <w:rFonts w:ascii="Calibri" w:hAnsi="Calibri"/>
                <w:b/>
                <w:i w:val="0"/>
                <w:color w:val="1E3A5F"/>
                <w:sz w:val="19"/>
              </w:rPr>
              <w:t>3 sections</w:t>
            </w:r>
          </w:p>
        </w:tc>
        <w:tc>
          <w:tcPr>
            <w:tcW w:type="dxa" w:w="6236"/>
            <w:shd w:val="clear" w:color="auto" w:fill="F0F4F8"/>
          </w:tcPr>
          <w:p>
            <w:pPr>
              <w:spacing w:before="80" w:after="80"/>
            </w:pPr>
            <w:r>
              <w:rPr>
                <w:rFonts w:ascii="Calibri" w:hAnsi="Calibri"/>
                <w:b w:val="0"/>
                <w:i w:val="0"/>
                <w:color w:val="2D2D2D"/>
                <w:sz w:val="19"/>
              </w:rPr>
              <w:t>Linéaire (23 prix) + Carrefour (11 prix) + Bretelles (19 prix)</w:t>
            </w:r>
          </w:p>
        </w:tc>
      </w:tr>
      <w:tr>
        <w:tc>
          <w:tcPr>
            <w:tcW w:type="dxa" w:w="3118"/>
            <w:shd w:val="clear" w:color="auto" w:fill="FFFFFF"/>
          </w:tcPr>
          <w:p>
            <w:pPr>
              <w:spacing w:before="80" w:after="80"/>
            </w:pPr>
            <w:r>
              <w:rPr>
                <w:rFonts w:ascii="Calibri" w:hAnsi="Calibri"/>
                <w:b/>
                <w:i w:val="0"/>
                <w:color w:val="1E3A5F"/>
                <w:sz w:val="19"/>
              </w:rPr>
              <w:t>53 prix</w:t>
            </w:r>
          </w:p>
        </w:tc>
        <w:tc>
          <w:tcPr>
            <w:tcW w:type="dxa" w:w="6236"/>
            <w:shd w:val="clear" w:color="auto" w:fill="FFFFFF"/>
          </w:tcPr>
          <w:p>
            <w:pPr>
              <w:spacing w:before="80" w:after="80"/>
            </w:pPr>
            <w:r>
              <w:rPr>
                <w:rFonts w:ascii="Calibri" w:hAnsi="Calibri"/>
                <w:b w:val="0"/>
                <w:i w:val="0"/>
                <w:color w:val="2D2D2D"/>
                <w:sz w:val="19"/>
              </w:rPr>
              <w:t>au bordereau des prix</w:t>
            </w:r>
          </w:p>
        </w:tc>
      </w:tr>
    </w:tbl>
    <w:p>
      <w:pPr>
        <w:spacing w:after="120"/>
      </w:pPr>
    </w:p>
    <w:p>
      <w:pPr>
        <w:spacing w:before="360" w:after="120"/>
      </w:pPr>
      <w:r>
        <w:rPr>
          <w:rFonts w:ascii="Calibri" w:hAnsi="Calibri"/>
          <w:b/>
          <w:i w:val="0"/>
          <w:color w:val="2E86C1"/>
          <w:sz w:val="24"/>
        </w:rPr>
        <w:t>3.2 Principaux métrés</w:t>
      </w:r>
    </w:p>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1984"/>
            <w:shd w:val="clear" w:color="auto" w:fill="1E3A5F"/>
          </w:tcPr>
          <w:p>
            <w:pPr>
              <w:spacing w:before="80" w:after="80"/>
              <w:jc w:val="center"/>
            </w:pPr>
            <w:r>
              <w:rPr>
                <w:rFonts w:ascii="Calibri" w:hAnsi="Calibri"/>
                <w:b/>
                <w:i w:val="0"/>
                <w:color w:val="FFFFFF"/>
                <w:sz w:val="17"/>
              </w:rPr>
              <w:t>Quantité</w:t>
            </w:r>
          </w:p>
        </w:tc>
        <w:tc>
          <w:tcPr>
            <w:tcW w:type="dxa" w:w="7370"/>
            <w:shd w:val="clear" w:color="auto" w:fill="1E3A5F"/>
          </w:tcPr>
          <w:p>
            <w:pPr>
              <w:spacing w:before="80" w:after="80"/>
              <w:jc w:val="center"/>
            </w:pPr>
            <w:r>
              <w:rPr>
                <w:rFonts w:ascii="Calibri" w:hAnsi="Calibri"/>
                <w:b/>
                <w:i w:val="0"/>
                <w:color w:val="FFFFFF"/>
                <w:sz w:val="17"/>
              </w:rPr>
              <w:t>Désignation</w:t>
            </w:r>
          </w:p>
        </w:tc>
      </w:tr>
      <w:tr>
        <w:tc>
          <w:tcPr>
            <w:tcW w:type="dxa" w:w="1984"/>
            <w:shd w:val="clear" w:color="auto" w:fill="F0F4F8"/>
            <w:tcBorders>
              <w:bottom w:val="single" w:sz="4" w:color="DDDDDD" w:space="0"/>
            </w:tcBorders>
          </w:tcPr>
          <w:p>
            <w:pPr>
              <w:spacing w:before="60" w:after="60"/>
            </w:pPr>
            <w:r>
              <w:rPr>
                <w:rFonts w:ascii="Calibri" w:hAnsi="Calibri"/>
                <w:b w:val="0"/>
                <w:i w:val="0"/>
                <w:color w:val="2D2D2D"/>
                <w:sz w:val="18"/>
              </w:rPr>
              <w:t>120 334 m³</w:t>
            </w:r>
          </w:p>
        </w:tc>
        <w:tc>
          <w:tcPr>
            <w:tcW w:type="dxa" w:w="7370"/>
            <w:shd w:val="clear" w:color="auto" w:fill="F0F4F8"/>
            <w:tcBorders>
              <w:bottom w:val="single" w:sz="4" w:color="DDDDDD" w:space="0"/>
            </w:tcBorders>
          </w:tcPr>
          <w:p>
            <w:pPr>
              <w:spacing w:before="60" w:after="60"/>
            </w:pPr>
            <w:r>
              <w:rPr>
                <w:rFonts w:ascii="Calibri" w:hAnsi="Calibri"/>
                <w:b w:val="0"/>
                <w:i w:val="0"/>
                <w:color w:val="2D2D2D"/>
                <w:sz w:val="18"/>
              </w:rPr>
              <w:t>Déblais</w:t>
            </w:r>
          </w:p>
        </w:tc>
      </w:tr>
      <w:tr>
        <w:tc>
          <w:tcPr>
            <w:tcW w:type="dxa" w:w="1984"/>
            <w:shd w:val="clear" w:color="auto" w:fill="FFFFFF"/>
            <w:tcBorders>
              <w:bottom w:val="single" w:sz="4" w:color="DDDDDD" w:space="0"/>
            </w:tcBorders>
          </w:tcPr>
          <w:p>
            <w:pPr>
              <w:spacing w:before="60" w:after="60"/>
            </w:pPr>
            <w:r>
              <w:rPr>
                <w:rFonts w:ascii="Calibri" w:hAnsi="Calibri"/>
                <w:b w:val="0"/>
                <w:i w:val="0"/>
                <w:color w:val="2D2D2D"/>
                <w:sz w:val="18"/>
              </w:rPr>
              <w:t>76 735 m³</w:t>
            </w:r>
          </w:p>
        </w:tc>
        <w:tc>
          <w:tcPr>
            <w:tcW w:type="dxa" w:w="7370"/>
            <w:shd w:val="clear" w:color="auto" w:fill="FFFFFF"/>
            <w:tcBorders>
              <w:bottom w:val="single" w:sz="4" w:color="DDDDDD" w:space="0"/>
            </w:tcBorders>
          </w:tcPr>
          <w:p>
            <w:pPr>
              <w:spacing w:before="60" w:after="60"/>
            </w:pPr>
            <w:r>
              <w:rPr>
                <w:rFonts w:ascii="Calibri" w:hAnsi="Calibri"/>
                <w:b w:val="0"/>
                <w:i w:val="0"/>
                <w:color w:val="2D2D2D"/>
                <w:sz w:val="18"/>
              </w:rPr>
              <w:t>Remblais</w:t>
            </w:r>
          </w:p>
        </w:tc>
      </w:tr>
      <w:tr>
        <w:tc>
          <w:tcPr>
            <w:tcW w:type="dxa" w:w="1984"/>
            <w:shd w:val="clear" w:color="auto" w:fill="F0F4F8"/>
            <w:tcBorders>
              <w:bottom w:val="single" w:sz="4" w:color="DDDDDD" w:space="0"/>
            </w:tcBorders>
          </w:tcPr>
          <w:p>
            <w:pPr>
              <w:spacing w:before="60" w:after="60"/>
            </w:pPr>
            <w:r>
              <w:rPr>
                <w:rFonts w:ascii="Calibri" w:hAnsi="Calibri"/>
                <w:b w:val="0"/>
                <w:i w:val="0"/>
                <w:color w:val="2D2D2D"/>
                <w:sz w:val="18"/>
              </w:rPr>
              <w:t>19 989 m³</w:t>
            </w:r>
          </w:p>
        </w:tc>
        <w:tc>
          <w:tcPr>
            <w:tcW w:type="dxa" w:w="7370"/>
            <w:shd w:val="clear" w:color="auto" w:fill="F0F4F8"/>
            <w:tcBorders>
              <w:bottom w:val="single" w:sz="4" w:color="DDDDDD" w:space="0"/>
            </w:tcBorders>
          </w:tcPr>
          <w:p>
            <w:pPr>
              <w:spacing w:before="60" w:after="60"/>
            </w:pPr>
            <w:r>
              <w:rPr>
                <w:rFonts w:ascii="Calibri" w:hAnsi="Calibri"/>
                <w:b w:val="0"/>
                <w:i w:val="0"/>
                <w:color w:val="2D2D2D"/>
                <w:sz w:val="18"/>
              </w:rPr>
              <w:t>Couche base GNB</w:t>
            </w:r>
          </w:p>
        </w:tc>
      </w:tr>
      <w:tr>
        <w:tc>
          <w:tcPr>
            <w:tcW w:type="dxa" w:w="1984"/>
            <w:shd w:val="clear" w:color="auto" w:fill="FFFFFF"/>
            <w:tcBorders>
              <w:bottom w:val="single" w:sz="4" w:color="DDDDDD" w:space="0"/>
            </w:tcBorders>
          </w:tcPr>
          <w:p>
            <w:pPr>
              <w:spacing w:before="60" w:after="60"/>
            </w:pPr>
            <w:r>
              <w:rPr>
                <w:rFonts w:ascii="Calibri" w:hAnsi="Calibri"/>
                <w:b w:val="0"/>
                <w:i w:val="0"/>
                <w:color w:val="2D2D2D"/>
                <w:sz w:val="18"/>
              </w:rPr>
              <w:t>34 481 m³</w:t>
            </w:r>
          </w:p>
        </w:tc>
        <w:tc>
          <w:tcPr>
            <w:tcW w:type="dxa" w:w="7370"/>
            <w:shd w:val="clear" w:color="auto" w:fill="FFFFFF"/>
            <w:tcBorders>
              <w:bottom w:val="single" w:sz="4" w:color="DDDDDD" w:space="0"/>
            </w:tcBorders>
          </w:tcPr>
          <w:p>
            <w:pPr>
              <w:spacing w:before="60" w:after="60"/>
            </w:pPr>
            <w:r>
              <w:rPr>
                <w:rFonts w:ascii="Calibri" w:hAnsi="Calibri"/>
                <w:b w:val="0"/>
                <w:i w:val="0"/>
                <w:color w:val="2D2D2D"/>
                <w:sz w:val="18"/>
              </w:rPr>
              <w:t>Fondation GNF2</w:t>
            </w:r>
          </w:p>
        </w:tc>
      </w:tr>
      <w:tr>
        <w:tc>
          <w:tcPr>
            <w:tcW w:type="dxa" w:w="1984"/>
            <w:shd w:val="clear" w:color="auto" w:fill="F0F4F8"/>
            <w:tcBorders>
              <w:bottom w:val="single" w:sz="4" w:color="DDDDDD" w:space="0"/>
            </w:tcBorders>
          </w:tcPr>
          <w:p>
            <w:pPr>
              <w:spacing w:before="60" w:after="60"/>
            </w:pPr>
            <w:r>
              <w:rPr>
                <w:rFonts w:ascii="Calibri" w:hAnsi="Calibri"/>
                <w:b w:val="0"/>
                <w:i w:val="0"/>
                <w:color w:val="2D2D2D"/>
                <w:sz w:val="18"/>
              </w:rPr>
              <w:t>794 ml</w:t>
            </w:r>
          </w:p>
        </w:tc>
        <w:tc>
          <w:tcPr>
            <w:tcW w:type="dxa" w:w="7370"/>
            <w:shd w:val="clear" w:color="auto" w:fill="F0F4F8"/>
            <w:tcBorders>
              <w:bottom w:val="single" w:sz="4" w:color="DDDDDD" w:space="0"/>
            </w:tcBorders>
          </w:tcPr>
          <w:p>
            <w:pPr>
              <w:spacing w:before="60" w:after="60"/>
            </w:pPr>
            <w:r>
              <w:rPr>
                <w:rFonts w:ascii="Calibri" w:hAnsi="Calibri"/>
                <w:b w:val="0"/>
                <w:i w:val="0"/>
                <w:color w:val="2D2D2D"/>
                <w:sz w:val="18"/>
              </w:rPr>
              <w:t>Buses Ø1000</w:t>
            </w:r>
          </w:p>
        </w:tc>
      </w:tr>
      <w:tr>
        <w:tc>
          <w:tcPr>
            <w:tcW w:type="dxa" w:w="1984"/>
            <w:shd w:val="clear" w:color="auto" w:fill="FFFFFF"/>
            <w:tcBorders>
              <w:bottom w:val="single" w:sz="4" w:color="DDDDDD" w:space="0"/>
            </w:tcBorders>
          </w:tcPr>
          <w:p>
            <w:pPr>
              <w:spacing w:before="60" w:after="60"/>
            </w:pPr>
            <w:r>
              <w:rPr>
                <w:rFonts w:ascii="Calibri" w:hAnsi="Calibri"/>
                <w:b w:val="0"/>
                <w:i w:val="0"/>
                <w:color w:val="2D2D2D"/>
                <w:sz w:val="18"/>
              </w:rPr>
              <w:t>789 m³</w:t>
            </w:r>
          </w:p>
        </w:tc>
        <w:tc>
          <w:tcPr>
            <w:tcW w:type="dxa" w:w="7370"/>
            <w:shd w:val="clear" w:color="auto" w:fill="FFFFFF"/>
            <w:tcBorders>
              <w:bottom w:val="single" w:sz="4" w:color="DDDDDD" w:space="0"/>
            </w:tcBorders>
          </w:tcPr>
          <w:p>
            <w:pPr>
              <w:spacing w:before="60" w:after="60"/>
            </w:pPr>
            <w:r>
              <w:rPr>
                <w:rFonts w:ascii="Calibri" w:hAnsi="Calibri"/>
                <w:b w:val="0"/>
                <w:i w:val="0"/>
                <w:color w:val="2D2D2D"/>
                <w:sz w:val="18"/>
              </w:rPr>
              <w:t>Gabions</w:t>
            </w:r>
          </w:p>
        </w:tc>
      </w:tr>
    </w:tbl>
    <w:p>
      <w:pPr>
        <w:spacing w:after="160"/>
      </w:pPr>
    </w:p>
    <w:p>
      <w:pPr>
        <w:spacing w:before="360" w:after="120"/>
      </w:pPr>
      <w:r>
        <w:rPr>
          <w:rFonts w:ascii="Calibri" w:hAnsi="Calibri"/>
          <w:b/>
          <w:i w:val="0"/>
          <w:color w:val="2E86C1"/>
          <w:sz w:val="24"/>
        </w:rPr>
        <w:t>3.3 Répartition budgétaire</w:t>
      </w:r>
    </w:p>
    <w:tbl>
      <w:tblPr>
        <w:tblW w:type="auto" w:w="0"/>
        <w:tblLook w:firstColumn="1" w:firstRow="1" w:lastColumn="0" w:lastRow="0" w:noHBand="0" w:noVBand="1" w:val="04A0"/>
        <w:tblBorders>
          <w:top w:val="none"/>
          <w:left w:val="none"/>
          <w:bottom w:val="none"/>
          <w:right w:val="none"/>
          <w:insideH w:val="none"/>
          <w:insideV w:val="none"/>
        </w:tblBorders>
      </w:tblPr>
      <w:tblGrid>
        <w:gridCol w:w="3118"/>
        <w:gridCol w:w="3118"/>
        <w:gridCol w:w="3118"/>
      </w:tblGrid>
      <w:tr>
        <w:tc>
          <w:tcPr>
            <w:tcW w:type="dxa" w:w="5386"/>
            <w:shd w:val="clear" w:color="auto" w:fill="1E3A5F"/>
          </w:tcPr>
          <w:p>
            <w:pPr>
              <w:spacing w:before="80" w:after="80"/>
              <w:jc w:val="center"/>
            </w:pPr>
            <w:r>
              <w:rPr>
                <w:rFonts w:ascii="Calibri" w:hAnsi="Calibri"/>
                <w:b/>
                <w:i w:val="0"/>
                <w:color w:val="FFFFFF"/>
                <w:sz w:val="17"/>
              </w:rPr>
              <w:t>Poste</w:t>
            </w:r>
          </w:p>
        </w:tc>
        <w:tc>
          <w:tcPr>
            <w:tcW w:type="dxa" w:w="2268"/>
            <w:shd w:val="clear" w:color="auto" w:fill="1E3A5F"/>
          </w:tcPr>
          <w:p>
            <w:pPr>
              <w:spacing w:before="80" w:after="80"/>
              <w:jc w:val="center"/>
            </w:pPr>
            <w:r>
              <w:rPr>
                <w:rFonts w:ascii="Calibri" w:hAnsi="Calibri"/>
                <w:b/>
                <w:i w:val="0"/>
                <w:color w:val="FFFFFF"/>
                <w:sz w:val="17"/>
              </w:rPr>
              <w:t>Montant HT (DH)</w:t>
            </w:r>
          </w:p>
        </w:tc>
        <w:tc>
          <w:tcPr>
            <w:tcW w:type="dxa" w:w="1701"/>
            <w:shd w:val="clear" w:color="auto" w:fill="1E3A5F"/>
          </w:tcPr>
          <w:p>
            <w:pPr>
              <w:spacing w:before="80" w:after="80"/>
              <w:jc w:val="center"/>
            </w:pPr>
            <w:r>
              <w:rPr>
                <w:rFonts w:ascii="Calibri" w:hAnsi="Calibri"/>
                <w:b/>
                <w:i w:val="0"/>
                <w:color w:val="FFFFFF"/>
                <w:sz w:val="17"/>
              </w:rPr>
              <w:t>%</w:t>
            </w:r>
          </w:p>
        </w:tc>
      </w:tr>
      <w:tr>
        <w:tc>
          <w:tcPr>
            <w:tcW w:type="dxa" w:w="5386"/>
            <w:shd w:val="clear" w:color="auto" w:fill="F0F4F8"/>
            <w:tcBorders>
              <w:bottom w:val="single" w:sz="4" w:color="DDDDDD" w:space="0"/>
            </w:tcBorders>
          </w:tcPr>
          <w:p>
            <w:pPr>
              <w:spacing w:before="60" w:after="60"/>
            </w:pPr>
            <w:r>
              <w:rPr>
                <w:rFonts w:ascii="Calibri" w:hAnsi="Calibri"/>
                <w:b w:val="0"/>
                <w:i w:val="0"/>
                <w:color w:val="2D2D2D"/>
                <w:sz w:val="18"/>
              </w:rPr>
              <w:t>Terrassement (déblais + remblais)</w:t>
            </w:r>
          </w:p>
        </w:tc>
        <w:tc>
          <w:tcPr>
            <w:tcW w:type="dxa" w:w="2268"/>
            <w:shd w:val="clear" w:color="auto" w:fill="F0F4F8"/>
            <w:tcBorders>
              <w:bottom w:val="single" w:sz="4" w:color="DDDDDD" w:space="0"/>
            </w:tcBorders>
          </w:tcPr>
          <w:p>
            <w:pPr>
              <w:spacing w:before="60" w:after="60"/>
            </w:pPr>
            <w:r>
              <w:rPr>
                <w:rFonts w:ascii="Calibri" w:hAnsi="Calibri"/>
                <w:b w:val="0"/>
                <w:i w:val="0"/>
                <w:color w:val="2D2D2D"/>
                <w:sz w:val="18"/>
              </w:rPr>
              <w:t>4 325 057</w:t>
            </w:r>
          </w:p>
        </w:tc>
        <w:tc>
          <w:tcPr>
            <w:tcW w:type="dxa" w:w="1701"/>
            <w:shd w:val="clear" w:color="auto" w:fill="F0F4F8"/>
            <w:tcBorders>
              <w:bottom w:val="single" w:sz="4" w:color="DDDDDD" w:space="0"/>
            </w:tcBorders>
          </w:tcPr>
          <w:p>
            <w:pPr>
              <w:spacing w:before="60" w:after="60"/>
            </w:pPr>
            <w:r>
              <w:rPr>
                <w:rFonts w:ascii="Calibri" w:hAnsi="Calibri"/>
                <w:b w:val="0"/>
                <w:i w:val="0"/>
                <w:color w:val="2D2D2D"/>
                <w:sz w:val="18"/>
              </w:rPr>
              <w:t>17,9%</w:t>
            </w:r>
          </w:p>
        </w:tc>
      </w:tr>
      <w:tr>
        <w:tc>
          <w:tcPr>
            <w:tcW w:type="dxa" w:w="5386"/>
            <w:shd w:val="clear" w:color="auto" w:fill="FFFFFF"/>
            <w:tcBorders>
              <w:bottom w:val="single" w:sz="4" w:color="DDDDDD" w:space="0"/>
            </w:tcBorders>
          </w:tcPr>
          <w:p>
            <w:pPr>
              <w:spacing w:before="60" w:after="60"/>
            </w:pPr>
            <w:r>
              <w:rPr>
                <w:rFonts w:ascii="Calibri" w:hAnsi="Calibri"/>
                <w:b w:val="0"/>
                <w:i w:val="0"/>
                <w:color w:val="2D2D2D"/>
                <w:sz w:val="18"/>
              </w:rPr>
              <w:t>Corps de chaussée (GNB + GNF2)</w:t>
            </w:r>
          </w:p>
        </w:tc>
        <w:tc>
          <w:tcPr>
            <w:tcW w:type="dxa" w:w="2268"/>
            <w:shd w:val="clear" w:color="auto" w:fill="FFFFFF"/>
            <w:tcBorders>
              <w:bottom w:val="single" w:sz="4" w:color="DDDDDD" w:space="0"/>
            </w:tcBorders>
          </w:tcPr>
          <w:p>
            <w:pPr>
              <w:spacing w:before="60" w:after="60"/>
            </w:pPr>
            <w:r>
              <w:rPr>
                <w:rFonts w:ascii="Calibri" w:hAnsi="Calibri"/>
                <w:b w:val="0"/>
                <w:i w:val="0"/>
                <w:color w:val="2D2D2D"/>
                <w:sz w:val="18"/>
              </w:rPr>
              <w:t>7 280 884</w:t>
            </w:r>
          </w:p>
        </w:tc>
        <w:tc>
          <w:tcPr>
            <w:tcW w:type="dxa" w:w="1701"/>
            <w:shd w:val="clear" w:color="auto" w:fill="FFFFFF"/>
            <w:tcBorders>
              <w:bottom w:val="single" w:sz="4" w:color="DDDDDD" w:space="0"/>
            </w:tcBorders>
          </w:tcPr>
          <w:p>
            <w:pPr>
              <w:spacing w:before="60" w:after="60"/>
            </w:pPr>
            <w:r>
              <w:rPr>
                <w:rFonts w:ascii="Calibri" w:hAnsi="Calibri"/>
                <w:b w:val="0"/>
                <w:i w:val="0"/>
                <w:color w:val="2D2D2D"/>
                <w:sz w:val="18"/>
              </w:rPr>
              <w:t>30,1%</w:t>
            </w:r>
          </w:p>
        </w:tc>
      </w:tr>
      <w:tr>
        <w:tc>
          <w:tcPr>
            <w:tcW w:type="dxa" w:w="5386"/>
            <w:shd w:val="clear" w:color="auto" w:fill="F0F4F8"/>
            <w:tcBorders>
              <w:bottom w:val="single" w:sz="4" w:color="DDDDDD" w:space="0"/>
            </w:tcBorders>
          </w:tcPr>
          <w:p>
            <w:pPr>
              <w:spacing w:before="60" w:after="60"/>
            </w:pPr>
            <w:r>
              <w:rPr>
                <w:rFonts w:ascii="Calibri" w:hAnsi="Calibri"/>
                <w:b w:val="0"/>
                <w:i w:val="0"/>
                <w:color w:val="2D2D2D"/>
                <w:sz w:val="18"/>
              </w:rPr>
              <w:t>Revêtement (bicouche + imprégnation)</w:t>
            </w:r>
          </w:p>
        </w:tc>
        <w:tc>
          <w:tcPr>
            <w:tcW w:type="dxa" w:w="2268"/>
            <w:shd w:val="clear" w:color="auto" w:fill="F0F4F8"/>
            <w:tcBorders>
              <w:bottom w:val="single" w:sz="4" w:color="DDDDDD" w:space="0"/>
            </w:tcBorders>
          </w:tcPr>
          <w:p>
            <w:pPr>
              <w:spacing w:before="60" w:after="60"/>
            </w:pPr>
            <w:r>
              <w:rPr>
                <w:rFonts w:ascii="Calibri" w:hAnsi="Calibri"/>
                <w:b w:val="0"/>
                <w:i w:val="0"/>
                <w:color w:val="2D2D2D"/>
                <w:sz w:val="18"/>
              </w:rPr>
              <w:t>2 588 570</w:t>
            </w:r>
          </w:p>
        </w:tc>
        <w:tc>
          <w:tcPr>
            <w:tcW w:type="dxa" w:w="1701"/>
            <w:shd w:val="clear" w:color="auto" w:fill="F0F4F8"/>
            <w:tcBorders>
              <w:bottom w:val="single" w:sz="4" w:color="DDDDDD" w:space="0"/>
            </w:tcBorders>
          </w:tcPr>
          <w:p>
            <w:pPr>
              <w:spacing w:before="60" w:after="60"/>
            </w:pPr>
            <w:r>
              <w:rPr>
                <w:rFonts w:ascii="Calibri" w:hAnsi="Calibri"/>
                <w:b w:val="0"/>
                <w:i w:val="0"/>
                <w:color w:val="2D2D2D"/>
                <w:sz w:val="18"/>
              </w:rPr>
              <w:t>10,7%</w:t>
            </w:r>
          </w:p>
        </w:tc>
      </w:tr>
      <w:tr>
        <w:tc>
          <w:tcPr>
            <w:tcW w:type="dxa" w:w="5386"/>
            <w:shd w:val="clear" w:color="auto" w:fill="FFFFFF"/>
            <w:tcBorders>
              <w:bottom w:val="single" w:sz="4" w:color="DDDDDD" w:space="0"/>
            </w:tcBorders>
          </w:tcPr>
          <w:p>
            <w:pPr>
              <w:spacing w:before="60" w:after="60"/>
            </w:pPr>
            <w:r>
              <w:rPr>
                <w:rFonts w:ascii="Calibri" w:hAnsi="Calibri"/>
                <w:b w:val="0"/>
                <w:i w:val="0"/>
                <w:color w:val="2D2D2D"/>
                <w:sz w:val="18"/>
              </w:rPr>
              <w:t>Ouvrages hydrauliques (buses + béton)</w:t>
            </w:r>
          </w:p>
        </w:tc>
        <w:tc>
          <w:tcPr>
            <w:tcW w:type="dxa" w:w="2268"/>
            <w:shd w:val="clear" w:color="auto" w:fill="FFFFFF"/>
            <w:tcBorders>
              <w:bottom w:val="single" w:sz="4" w:color="DDDDDD" w:space="0"/>
            </w:tcBorders>
          </w:tcPr>
          <w:p>
            <w:pPr>
              <w:spacing w:before="60" w:after="60"/>
            </w:pPr>
            <w:r>
              <w:rPr>
                <w:rFonts w:ascii="Calibri" w:hAnsi="Calibri"/>
                <w:b w:val="0"/>
                <w:i w:val="0"/>
                <w:color w:val="2D2D2D"/>
                <w:sz w:val="18"/>
              </w:rPr>
              <w:t>6 793 920</w:t>
            </w:r>
          </w:p>
        </w:tc>
        <w:tc>
          <w:tcPr>
            <w:tcW w:type="dxa" w:w="1701"/>
            <w:shd w:val="clear" w:color="auto" w:fill="FFFFFF"/>
            <w:tcBorders>
              <w:bottom w:val="single" w:sz="4" w:color="DDDDDD" w:space="0"/>
            </w:tcBorders>
          </w:tcPr>
          <w:p>
            <w:pPr>
              <w:spacing w:before="60" w:after="60"/>
            </w:pPr>
            <w:r>
              <w:rPr>
                <w:rFonts w:ascii="Calibri" w:hAnsi="Calibri"/>
                <w:b w:val="0"/>
                <w:i w:val="0"/>
                <w:color w:val="2D2D2D"/>
                <w:sz w:val="18"/>
              </w:rPr>
              <w:t>28,1%</w:t>
            </w:r>
          </w:p>
        </w:tc>
      </w:tr>
      <w:tr>
        <w:tc>
          <w:tcPr>
            <w:tcW w:type="dxa" w:w="5386"/>
            <w:shd w:val="clear" w:color="auto" w:fill="F0F4F8"/>
            <w:tcBorders>
              <w:bottom w:val="single" w:sz="4" w:color="DDDDDD" w:space="0"/>
            </w:tcBorders>
          </w:tcPr>
          <w:p>
            <w:pPr>
              <w:spacing w:before="60" w:after="60"/>
            </w:pPr>
            <w:r>
              <w:rPr>
                <w:rFonts w:ascii="Calibri" w:hAnsi="Calibri"/>
                <w:b w:val="0"/>
                <w:i w:val="0"/>
                <w:color w:val="2D2D2D"/>
                <w:sz w:val="18"/>
              </w:rPr>
              <w:t>Ouvrages de soutènement (gabions)</w:t>
            </w:r>
          </w:p>
        </w:tc>
        <w:tc>
          <w:tcPr>
            <w:tcW w:type="dxa" w:w="2268"/>
            <w:shd w:val="clear" w:color="auto" w:fill="F0F4F8"/>
            <w:tcBorders>
              <w:bottom w:val="single" w:sz="4" w:color="DDDDDD" w:space="0"/>
            </w:tcBorders>
          </w:tcPr>
          <w:p>
            <w:pPr>
              <w:spacing w:before="60" w:after="60"/>
            </w:pPr>
            <w:r>
              <w:rPr>
                <w:rFonts w:ascii="Calibri" w:hAnsi="Calibri"/>
                <w:b w:val="0"/>
                <w:i w:val="0"/>
                <w:color w:val="2D2D2D"/>
                <w:sz w:val="18"/>
              </w:rPr>
              <w:t>458 220</w:t>
            </w:r>
          </w:p>
        </w:tc>
        <w:tc>
          <w:tcPr>
            <w:tcW w:type="dxa" w:w="1701"/>
            <w:shd w:val="clear" w:color="auto" w:fill="F0F4F8"/>
            <w:tcBorders>
              <w:bottom w:val="single" w:sz="4" w:color="DDDDDD" w:space="0"/>
            </w:tcBorders>
          </w:tcPr>
          <w:p>
            <w:pPr>
              <w:spacing w:before="60" w:after="60"/>
            </w:pPr>
            <w:r>
              <w:rPr>
                <w:rFonts w:ascii="Calibri" w:hAnsi="Calibri"/>
                <w:b w:val="0"/>
                <w:i w:val="0"/>
                <w:color w:val="2D2D2D"/>
                <w:sz w:val="18"/>
              </w:rPr>
              <w:t>1,9%</w:t>
            </w:r>
          </w:p>
        </w:tc>
      </w:tr>
      <w:tr>
        <w:tc>
          <w:tcPr>
            <w:tcW w:type="dxa" w:w="5386"/>
            <w:shd w:val="clear" w:color="auto" w:fill="FFFFFF"/>
            <w:tcBorders>
              <w:bottom w:val="single" w:sz="4" w:color="DDDDDD" w:space="0"/>
            </w:tcBorders>
          </w:tcPr>
          <w:p>
            <w:pPr>
              <w:spacing w:before="60" w:after="60"/>
            </w:pPr>
            <w:r>
              <w:rPr>
                <w:rFonts w:ascii="Calibri" w:hAnsi="Calibri"/>
                <w:b w:val="0"/>
                <w:i w:val="0"/>
                <w:color w:val="2D2D2D"/>
                <w:sz w:val="18"/>
              </w:rPr>
              <w:t>Bretelles et carrefour</w:t>
            </w:r>
          </w:p>
        </w:tc>
        <w:tc>
          <w:tcPr>
            <w:tcW w:type="dxa" w:w="2268"/>
            <w:shd w:val="clear" w:color="auto" w:fill="FFFFFF"/>
            <w:tcBorders>
              <w:bottom w:val="single" w:sz="4" w:color="DDDDDD" w:space="0"/>
            </w:tcBorders>
          </w:tcPr>
          <w:p>
            <w:pPr>
              <w:spacing w:before="60" w:after="60"/>
            </w:pPr>
            <w:r>
              <w:rPr>
                <w:rFonts w:ascii="Calibri" w:hAnsi="Calibri"/>
                <w:b w:val="0"/>
                <w:i w:val="0"/>
                <w:color w:val="2D2D2D"/>
                <w:sz w:val="18"/>
              </w:rPr>
              <w:t>2 722 720</w:t>
            </w:r>
          </w:p>
        </w:tc>
        <w:tc>
          <w:tcPr>
            <w:tcW w:type="dxa" w:w="1701"/>
            <w:shd w:val="clear" w:color="auto" w:fill="FFFFFF"/>
            <w:tcBorders>
              <w:bottom w:val="single" w:sz="4" w:color="DDDDDD" w:space="0"/>
            </w:tcBorders>
          </w:tcPr>
          <w:p>
            <w:pPr>
              <w:spacing w:before="60" w:after="60"/>
            </w:pPr>
            <w:r>
              <w:rPr>
                <w:rFonts w:ascii="Calibri" w:hAnsi="Calibri"/>
                <w:b w:val="0"/>
                <w:i w:val="0"/>
                <w:color w:val="2D2D2D"/>
                <w:sz w:val="18"/>
              </w:rPr>
              <w:t>11,3%</w:t>
            </w:r>
          </w:p>
        </w:tc>
      </w:tr>
      <w:tr>
        <w:tc>
          <w:tcPr>
            <w:tcW w:type="dxa" w:w="5386"/>
            <w:shd w:val="clear" w:color="auto" w:fill="FFF8F0"/>
            <w:tcBorders>
              <w:bottom w:val="single" w:sz="4" w:color="DDDDDD" w:space="0"/>
            </w:tcBorders>
          </w:tcPr>
          <w:p>
            <w:pPr>
              <w:spacing w:before="60" w:after="60"/>
            </w:pPr>
            <w:r>
              <w:rPr>
                <w:rFonts w:ascii="Calibri" w:hAnsi="Calibri"/>
                <w:b/>
                <w:i w:val="0"/>
                <w:color w:val="F39200"/>
                <w:sz w:val="18"/>
              </w:rPr>
              <w:t>TOTAL HT</w:t>
            </w:r>
          </w:p>
        </w:tc>
        <w:tc>
          <w:tcPr>
            <w:tcW w:type="dxa" w:w="2268"/>
            <w:shd w:val="clear" w:color="auto" w:fill="FFF8F0"/>
            <w:tcBorders>
              <w:bottom w:val="single" w:sz="4" w:color="DDDDDD" w:space="0"/>
            </w:tcBorders>
          </w:tcPr>
          <w:p>
            <w:pPr>
              <w:spacing w:before="60" w:after="60"/>
            </w:pPr>
            <w:r>
              <w:rPr>
                <w:rFonts w:ascii="Calibri" w:hAnsi="Calibri"/>
                <w:b/>
                <w:i w:val="0"/>
                <w:color w:val="F39200"/>
                <w:sz w:val="18"/>
              </w:rPr>
              <w:t>24 169 371</w:t>
            </w:r>
          </w:p>
        </w:tc>
        <w:tc>
          <w:tcPr>
            <w:tcW w:type="dxa" w:w="1701"/>
            <w:shd w:val="clear" w:color="auto" w:fill="FFF8F0"/>
            <w:tcBorders>
              <w:bottom w:val="single" w:sz="4" w:color="DDDDDD" w:space="0"/>
            </w:tcBorders>
          </w:tcPr>
          <w:p>
            <w:pPr>
              <w:spacing w:before="60" w:after="60"/>
            </w:pPr>
            <w:r>
              <w:rPr>
                <w:rFonts w:ascii="Calibri" w:hAnsi="Calibri"/>
                <w:b/>
                <w:i w:val="0"/>
                <w:color w:val="F39200"/>
                <w:sz w:val="18"/>
              </w:rPr>
              <w:t>100%</w:t>
            </w:r>
          </w:p>
        </w:tc>
      </w:tr>
    </w:tbl>
    <w:p>
      <w:pPr>
        <w:spacing w:after="160"/>
      </w:pPr>
    </w:p>
    <w:p>
      <w:pPr>
        <w:spacing w:before="0" w:after="80"/>
        <w:jc w:val="both"/>
      </w:pPr>
      <w:r>
        <w:rPr>
          <w:rFonts w:ascii="Calibri" w:hAnsi="Calibri"/>
          <w:b w:val="0"/>
          <w:i w:val="0"/>
          <w:color w:val="CA6F1E"/>
          <w:sz w:val="18"/>
        </w:rPr>
        <w:t>Note : 58% du budget sur 2 postes : — Corps de chaussée + Ouvrages hydrauliques</w:t>
      </w:r>
    </w:p>
    <w:tbl>
      <w:tblPr>
        <w:tblW w:type="auto" w:w="0"/>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5"/>
            <w:shd w:val="clear" w:color="auto" w:fill="0F1B2D"/>
          </w:tcPr>
          <w:p>
            <w:pPr>
              <w:spacing w:before="80" w:after="80"/>
            </w:pPr>
            <w:r>
              <w:rPr>
                <w:rFonts w:ascii="Calibri" w:hAnsi="Calibri"/>
                <w:b/>
                <w:i w:val="0"/>
                <w:color w:val="FFFFFF"/>
                <w:sz w:val="20"/>
              </w:rPr>
              <w:t>SITUATION 5 — DÉMARCHE CPAR</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1701"/>
            <w:shd w:val="clear" w:color="auto" w:fill="F39200"/>
          </w:tcPr>
          <w:p>
            <w:pPr>
              <w:spacing w:before="160" w:after="160"/>
              <w:jc w:val="center"/>
            </w:pPr>
            <w:r>
              <w:rPr>
                <w:rFonts w:ascii="Calibri" w:hAnsi="Calibri"/>
                <w:b/>
                <w:i w:val="0"/>
                <w:color w:val="FFFFFF"/>
                <w:sz w:val="18"/>
              </w:rPr>
              <w:t>SITUATION 5</w:t>
            </w:r>
          </w:p>
        </w:tc>
        <w:tc>
          <w:tcPr>
            <w:tcW w:type="dxa" w:w="7654"/>
            <w:shd w:val="clear" w:color="auto" w:fill="1E3A5F"/>
          </w:tcPr>
          <w:p>
            <w:pPr>
              <w:spacing w:before="160" w:after="80"/>
            </w:pPr>
            <w:r>
              <w:rPr>
                <w:rFonts w:ascii="Calibri" w:hAnsi="Calibri"/>
                <w:b/>
                <w:i w:val="0"/>
                <w:color w:val="FFFFFF"/>
                <w:sz w:val="22"/>
              </w:rPr>
              <w:t>Contrôle des cubatures de terrassement en zone montagneuse</w:t>
            </w:r>
          </w:p>
          <w:p>
            <w:pPr>
              <w:spacing w:before="0" w:after="160"/>
            </w:pPr>
            <w:r>
              <w:rPr>
                <w:rFonts w:ascii="Calibri" w:hAnsi="Calibri"/>
                <w:b w:val="0"/>
                <w:i w:val="0"/>
                <w:color w:val="AAD4F0"/>
                <w:sz w:val="17"/>
              </w:rPr>
              <w:t>Compétence : Vérifier les quantités exécutées et contrôler les écarts</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2268"/>
            <w:shd w:val="clear" w:color="auto" w:fill="FFF8F0"/>
            <w:tcBorders>
              <w:left w:val="single" w:sz="16" w:color="F39200" w:space="0"/>
            </w:tcBorders>
          </w:tcPr>
          <w:p>
            <w:pPr>
              <w:spacing w:before="160" w:after="160"/>
              <w:jc w:val="center"/>
            </w:pPr>
            <w:r>
              <w:rPr>
                <w:rFonts w:ascii="Calibri" w:hAnsi="Calibri"/>
                <w:b/>
                <w:i w:val="0"/>
                <w:color w:val="F39200"/>
                <w:sz w:val="40"/>
              </w:rPr>
              <w:t>120 334 m³</w:t>
            </w:r>
          </w:p>
          <w:p>
            <w:pPr>
              <w:spacing w:before="0" w:after="160"/>
              <w:jc w:val="center"/>
            </w:pPr>
            <w:r>
              <w:rPr>
                <w:rFonts w:ascii="Calibri" w:hAnsi="Calibri"/>
                <w:b w:val="0"/>
                <w:i w:val="0"/>
                <w:color w:val="2D2D2D"/>
                <w:sz w:val="16"/>
              </w:rPr>
              <w:t>Déblais vérifiés — surcoût absorbé sans avenant</w:t>
            </w:r>
          </w:p>
        </w:tc>
        <w:tc>
          <w:tcPr>
            <w:tcW w:type="dxa" w:w="7087"/>
            <w:shd w:val="clear" w:color="auto" w:fill="FFFFFF"/>
          </w:tcPr>
          <w:p/>
          <w:p>
            <w:pPr>
              <w:spacing w:before="80" w:after="40"/>
            </w:pPr>
            <w:r>
              <w:rPr>
                <w:rFonts w:ascii="Calibri" w:hAnsi="Calibri"/>
                <w:b/>
                <w:i w:val="0"/>
                <w:color w:val="2E86C1"/>
                <w:sz w:val="18"/>
              </w:rPr>
              <w:t xml:space="preserve">C — CONTEXTE  </w:t>
            </w:r>
            <w:r>
              <w:rPr>
                <w:rFonts w:ascii="Calibri" w:hAnsi="Calibri"/>
                <w:b w:val="0"/>
                <w:i w:val="0"/>
                <w:color w:val="2D2D2D"/>
                <w:sz w:val="18"/>
              </w:rPr>
              <w:t>La route Lehri-Kerrouchen traverse 25 km de Moyen Atlas. Je devais vérifier les cubatures calculées par le bureau d'études : 120 334 m³ de déblais et 76 735 m³ de remblais. Sur un projet routier de cette envergure, le poste terrassement est le plus sensible aux écarts — et celui où l'enveloppe budgétaire peut déraper le plus vite si le contrôle n'est pas rigoureux.</w:t>
            </w:r>
          </w:p>
          <w:p>
            <w:pPr>
              <w:spacing w:before="80" w:after="40"/>
            </w:pPr>
            <w:r>
              <w:rPr>
                <w:rFonts w:ascii="Calibri" w:hAnsi="Calibri"/>
                <w:b/>
                <w:i w:val="0"/>
                <w:color w:val="C0392B"/>
                <w:sz w:val="18"/>
              </w:rPr>
              <w:t xml:space="preserve">P — PROBLÈME  </w:t>
            </w:r>
            <w:r>
              <w:rPr>
                <w:rFonts w:ascii="Calibri" w:hAnsi="Calibri"/>
                <w:b w:val="0"/>
                <w:i w:val="0"/>
                <w:color w:val="2D2D2D"/>
                <w:sz w:val="18"/>
              </w:rPr>
              <w:t>Au-delà du kilomètre 12, le terrain s'est révélé rocheux — du calcaire fracturé que l'étude géotechnique n'avait pas détecté. Résultat : 5 000 m³ à reclassifier en déblais rocheux, avec un surcoût immédiat de 285 000 DH. En parallèle, trois passages en fond de vallée nécessitaient des ouvrages hydrauliques non prévus au marché. L'écart cumulé montait à 8% du budget.</w:t>
            </w:r>
          </w:p>
          <w:p>
            <w:pPr>
              <w:spacing w:before="80" w:after="40"/>
            </w:pPr>
            <w:r>
              <w:rPr>
                <w:rFonts w:ascii="Calibri" w:hAnsi="Calibri"/>
                <w:b/>
                <w:i w:val="0"/>
                <w:color w:val="148F77"/>
                <w:sz w:val="18"/>
              </w:rPr>
              <w:t xml:space="preserve">A — ACTION  </w:t>
            </w:r>
            <w:r>
              <w:rPr>
                <w:rFonts w:ascii="Calibri" w:hAnsi="Calibri"/>
                <w:b w:val="0"/>
                <w:i w:val="0"/>
                <w:color w:val="2D2D2D"/>
                <w:sz w:val="18"/>
              </w:rPr>
              <w:t>J'ai instauré un contrôle contradictoire tous les 500 mètres avec le conducteur de travaux : relevé GPS sur le terrain, comparaison avec les profils théoriques, calcul de volume vérifié par tableur. Pour les ouvrages hydrauliques, j'ai travaillé directement avec le bureau d'études pour dimensionner trois dalots béton armé. La reclassification des 5 000 m³ a été formalisée par attachement signé et documentée en photos.</w:t>
            </w:r>
          </w:p>
          <w:p>
            <w:pPr>
              <w:spacing w:before="80" w:after="40"/>
            </w:pPr>
            <w:r>
              <w:rPr>
                <w:rFonts w:ascii="Calibri" w:hAnsi="Calibri"/>
                <w:b/>
                <w:i w:val="0"/>
                <w:color w:val="CA6F1E"/>
                <w:sz w:val="18"/>
              </w:rPr>
              <w:t xml:space="preserve">R — RÉSULTAT  </w:t>
            </w:r>
            <w:r>
              <w:rPr>
                <w:rFonts w:ascii="Calibri" w:hAnsi="Calibri"/>
                <w:b w:val="0"/>
                <w:i w:val="0"/>
                <w:color w:val="2D2D2D"/>
                <w:sz w:val="18"/>
              </w:rPr>
              <w:t>Le surcoût de 285 000 DH a été entièrement absorbé par compensation sur d'autres postes — remblais réels inférieurs aux prévisions et économies sur le revêtement. Les trois dalots ont été intégrés dans l'enveloppe globale. La réception provisoire a eu lieu dans les délais contractuels, sans avenant et sans réclamation de l'entreprise. Ce contrôle m'a appris qu'il faut aller sur le terrain, systématiquement.</w:t>
            </w:r>
          </w:p>
        </w:tc>
      </w:tr>
    </w:tbl>
    <w:p>
      <w:pPr>
        <w:spacing w:after="120"/>
      </w:pPr>
    </w:p>
    <w:p>
      <w:pPr>
        <w:spacing w:before="360" w:after="120"/>
      </w:pPr>
      <w:r>
        <w:rPr>
          <w:rFonts w:ascii="Calibri" w:hAnsi="Calibri"/>
          <w:b/>
          <w:i w:val="0"/>
          <w:color w:val="2E86C1"/>
          <w:sz w:val="24"/>
        </w:rPr>
        <w:t>3.4 Défis d'un chantier routier en zone montagneuse</w:t>
      </w:r>
    </w:p>
    <w:tbl>
      <w:tblPr>
        <w:tblW w:type="auto" w:w="0"/>
        <w:tblLook w:firstColumn="1" w:firstRow="1" w:lastColumn="0" w:lastRow="0" w:noHBand="0" w:noVBand="1" w:val="04A0"/>
        <w:tblBorders>
          <w:top w:val="none"/>
          <w:left w:val="none"/>
          <w:bottom w:val="none"/>
          <w:right w:val="none"/>
          <w:insideH w:val="none"/>
          <w:insideV w:val="none"/>
        </w:tblBorders>
      </w:tblPr>
      <w:tblGrid>
        <w:gridCol w:w="3118"/>
        <w:gridCol w:w="3118"/>
        <w:gridCol w:w="3118"/>
      </w:tblGrid>
      <w:tr>
        <w:tc>
          <w:tcPr>
            <w:tcW w:type="dxa" w:w="1984"/>
            <w:shd w:val="clear" w:color="auto" w:fill="F39200"/>
          </w:tcPr>
          <w:p>
            <w:pPr>
              <w:spacing w:before="80" w:after="80"/>
              <w:jc w:val="center"/>
            </w:pPr>
            <w:r>
              <w:rPr>
                <w:rFonts w:ascii="Calibri" w:hAnsi="Calibri"/>
                <w:b/>
                <w:i w:val="0"/>
                <w:color w:val="FFFFFF"/>
                <w:sz w:val="17"/>
              </w:rPr>
              <w:t>Défi</w:t>
            </w:r>
          </w:p>
        </w:tc>
        <w:tc>
          <w:tcPr>
            <w:tcW w:type="dxa" w:w="3685"/>
            <w:shd w:val="clear" w:color="auto" w:fill="F39200"/>
          </w:tcPr>
          <w:p>
            <w:pPr>
              <w:spacing w:before="80" w:after="80"/>
              <w:jc w:val="center"/>
            </w:pPr>
            <w:r>
              <w:rPr>
                <w:rFonts w:ascii="Calibri" w:hAnsi="Calibri"/>
                <w:b/>
                <w:i w:val="0"/>
                <w:color w:val="FFFFFF"/>
                <w:sz w:val="17"/>
              </w:rPr>
              <w:t>Problème rencontré</w:t>
            </w:r>
          </w:p>
        </w:tc>
        <w:tc>
          <w:tcPr>
            <w:tcW w:type="dxa" w:w="3685"/>
            <w:shd w:val="clear" w:color="auto" w:fill="F39200"/>
          </w:tcPr>
          <w:p>
            <w:pPr>
              <w:spacing w:before="80" w:after="80"/>
              <w:jc w:val="center"/>
            </w:pPr>
            <w:r>
              <w:rPr>
                <w:rFonts w:ascii="Calibri" w:hAnsi="Calibri"/>
                <w:b/>
                <w:i w:val="0"/>
                <w:color w:val="FFFFFF"/>
                <w:sz w:val="17"/>
              </w:rPr>
              <w:t>Solution apportée</w:t>
            </w:r>
          </w:p>
        </w:tc>
      </w:tr>
      <w:tr>
        <w:tc>
          <w:tcPr>
            <w:tcW w:type="dxa" w:w="1984"/>
            <w:shd w:val="clear" w:color="auto" w:fill="F0F4F8"/>
            <w:tcBorders>
              <w:bottom w:val="single" w:sz="4" w:color="DDDDDD" w:space="0"/>
            </w:tcBorders>
          </w:tcPr>
          <w:p>
            <w:pPr>
              <w:spacing w:before="60" w:after="60"/>
            </w:pPr>
            <w:r>
              <w:rPr>
                <w:rFonts w:ascii="Calibri" w:hAnsi="Calibri"/>
                <w:b w:val="0"/>
                <w:i w:val="0"/>
                <w:color w:val="2D2D2D"/>
                <w:sz w:val="18"/>
              </w:rPr>
              <w:t>Relief montagneux</w:t>
            </w:r>
          </w:p>
        </w:tc>
        <w:tc>
          <w:tcPr>
            <w:tcW w:type="dxa" w:w="3685"/>
            <w:shd w:val="clear" w:color="auto" w:fill="F0F4F8"/>
            <w:tcBorders>
              <w:bottom w:val="single" w:sz="4" w:color="DDDDDD" w:space="0"/>
            </w:tcBorders>
          </w:tcPr>
          <w:p>
            <w:pPr>
              <w:spacing w:before="60" w:after="60"/>
            </w:pPr>
            <w:r>
              <w:rPr>
                <w:rFonts w:ascii="Calibri" w:hAnsi="Calibri"/>
                <w:b w:val="0"/>
                <w:i w:val="0"/>
                <w:color w:val="2D2D2D"/>
                <w:sz w:val="18"/>
              </w:rPr>
              <w:t>Le tracé de 25 km traverse un terrain accidenté du Moyen Atlas avec un dénivelé cumulé de 400 m et des pentes atteignant 12% en lacets. Les volumes de terrassement étaient considérables : 120 334 m³ de déblais et 76 735 m³ de remblais — au-delà des estimations initiales. Les ouvrages de soutènement en gabions (789 m³) s'avéraient indispensables pour stabiliser les talus. Toute erreur de calcul des cubatures se traduisait directement par un dépassement budgétaire.</w:t>
            </w:r>
          </w:p>
        </w:tc>
        <w:tc>
          <w:tcPr>
            <w:tcW w:type="dxa" w:w="3685"/>
            <w:shd w:val="clear" w:color="auto" w:fill="F0F4F8"/>
            <w:tcBorders>
              <w:bottom w:val="single" w:sz="4" w:color="DDDDDD" w:space="0"/>
            </w:tcBorders>
          </w:tcPr>
          <w:p>
            <w:pPr>
              <w:spacing w:before="60" w:after="60"/>
            </w:pPr>
            <w:r>
              <w:rPr>
                <w:rFonts w:ascii="Calibri" w:hAnsi="Calibri"/>
                <w:b w:val="0"/>
                <w:i w:val="0"/>
                <w:color w:val="2D2D2D"/>
                <w:sz w:val="18"/>
              </w:rPr>
              <w:t>Contrôle méthodique par profils en travers tous les 25 m, complété par relevés GPS contradictoires tous les 500 ml avec le conducteur de travaux. Vérification de chaque volume par tableur avant validation. Ajustement du tracé sur 3 virages critiques en concertation avec le BET. La rigueur du contrôle a permis d'absorber les surplus de déblais grâce aux économies sur les remblais réels — inférieurs aux prévisions de l'étude.</w:t>
            </w:r>
          </w:p>
        </w:tc>
      </w:tr>
      <w:tr>
        <w:tc>
          <w:tcPr>
            <w:tcW w:type="dxa" w:w="1984"/>
            <w:shd w:val="clear" w:color="auto" w:fill="FFFFFF"/>
            <w:tcBorders>
              <w:bottom w:val="single" w:sz="4" w:color="DDDDDD" w:space="0"/>
            </w:tcBorders>
          </w:tcPr>
          <w:p>
            <w:pPr>
              <w:spacing w:before="60" w:after="60"/>
            </w:pPr>
            <w:r>
              <w:rPr>
                <w:rFonts w:ascii="Calibri" w:hAnsi="Calibri"/>
                <w:b w:val="0"/>
                <w:i w:val="0"/>
                <w:color w:val="2D2D2D"/>
                <w:sz w:val="18"/>
              </w:rPr>
              <w:t>Conditions climatiques</w:t>
            </w:r>
          </w:p>
        </w:tc>
        <w:tc>
          <w:tcPr>
            <w:tcW w:type="dxa" w:w="3685"/>
            <w:shd w:val="clear" w:color="auto" w:fill="FFFFFF"/>
            <w:tcBorders>
              <w:bottom w:val="single" w:sz="4" w:color="DDDDDD" w:space="0"/>
            </w:tcBorders>
          </w:tcPr>
          <w:p>
            <w:pPr>
              <w:spacing w:before="60" w:after="60"/>
            </w:pPr>
            <w:r>
              <w:rPr>
                <w:rFonts w:ascii="Calibri" w:hAnsi="Calibri"/>
                <w:b w:val="0"/>
                <w:i w:val="0"/>
                <w:color w:val="2D2D2D"/>
                <w:sz w:val="18"/>
              </w:rPr>
              <w:t>La zone Moyen Atlas est soumise à un gel hivernal sévère (–8°C en janvier) et à des précipitations de 600 mm/an, concentrées entre novembre et mars. Les enrobés ne se posent pas sous le gel ; les terrassements en terrain détrempé créent des instabilités. Deux arrêts hivernaux formalisés par ordres de service, représentant 45 jours cumulés d'arrêt. Sans planification rigoureuse, le risque de dépassement du délai contractuel était réel.</w:t>
            </w:r>
          </w:p>
        </w:tc>
        <w:tc>
          <w:tcPr>
            <w:tcW w:type="dxa" w:w="3685"/>
            <w:shd w:val="clear" w:color="auto" w:fill="FFFFFF"/>
            <w:tcBorders>
              <w:bottom w:val="single" w:sz="4" w:color="DDDDDD" w:space="0"/>
            </w:tcBorders>
          </w:tcPr>
          <w:p>
            <w:pPr>
              <w:spacing w:before="60" w:after="60"/>
            </w:pPr>
            <w:r>
              <w:rPr>
                <w:rFonts w:ascii="Calibri" w:hAnsi="Calibri"/>
                <w:b w:val="0"/>
                <w:i w:val="0"/>
                <w:color w:val="2D2D2D"/>
                <w:sz w:val="18"/>
              </w:rPr>
              <w:t>Planification rigoureuse calée sur la saison sèche (avril-octobre). Terrassements prioritaires en début de campagne, avant les premières pluies d'automne. Pose des enrobés réservée aux mois d'été (juin-août) pour des températures optimales. Protection des talus par géotextile avant l'hiver. OS d'arrêt et de reprise formalisés avec photos datées. Planning de rattrapage établi dès la reprise. Délai contractuel respecté malgré les 45 jours d'interruption cumulés.</w:t>
            </w:r>
          </w:p>
        </w:tc>
      </w:tr>
      <w:tr>
        <w:tc>
          <w:tcPr>
            <w:tcW w:type="dxa" w:w="1984"/>
            <w:shd w:val="clear" w:color="auto" w:fill="F0F4F8"/>
            <w:tcBorders>
              <w:bottom w:val="single" w:sz="4" w:color="DDDDDD" w:space="0"/>
            </w:tcBorders>
          </w:tcPr>
          <w:p>
            <w:pPr>
              <w:spacing w:before="60" w:after="60"/>
            </w:pPr>
            <w:r>
              <w:rPr>
                <w:rFonts w:ascii="Calibri" w:hAnsi="Calibri"/>
                <w:b w:val="0"/>
                <w:i w:val="0"/>
                <w:color w:val="2D2D2D"/>
                <w:sz w:val="18"/>
              </w:rPr>
              <w:t>Terrain rocheux imprévu</w:t>
            </w:r>
          </w:p>
        </w:tc>
        <w:tc>
          <w:tcPr>
            <w:tcW w:type="dxa" w:w="3685"/>
            <w:shd w:val="clear" w:color="auto" w:fill="F0F4F8"/>
            <w:tcBorders>
              <w:bottom w:val="single" w:sz="4" w:color="DDDDDD" w:space="0"/>
            </w:tcBorders>
          </w:tcPr>
          <w:p>
            <w:pPr>
              <w:spacing w:before="60" w:after="60"/>
            </w:pPr>
            <w:r>
              <w:rPr>
                <w:rFonts w:ascii="Calibri" w:hAnsi="Calibri"/>
                <w:b w:val="0"/>
                <w:i w:val="0"/>
                <w:color w:val="2D2D2D"/>
                <w:sz w:val="18"/>
              </w:rPr>
              <w:t>L'étude géotechnique initiale ne signalait aucune zone rocheuse significative. À partir du PK 12+000, le terrassement a révélé du calcaire fracturé — non identifié. 5 000 m³ reclassés en déblais rocheux (85 DH/m³ vs 28 DH/m³ pour les déblais ordinaires), soit un surcoût immédiat de 285 000 DH (+1,2%). L'écart cumulé avec les autres postes montait à +8% — bien au-delà du seuil d'avenant de 5%. Un avenant aurait bloqué le chantier pendant 3 à 6 mois de procédure administrative.</w:t>
            </w:r>
          </w:p>
        </w:tc>
        <w:tc>
          <w:tcPr>
            <w:tcW w:type="dxa" w:w="3685"/>
            <w:shd w:val="clear" w:color="auto" w:fill="F0F4F8"/>
            <w:tcBorders>
              <w:bottom w:val="single" w:sz="4" w:color="DDDDDD" w:space="0"/>
            </w:tcBorders>
          </w:tcPr>
          <w:p>
            <w:pPr>
              <w:spacing w:before="60" w:after="60"/>
            </w:pPr>
            <w:r>
              <w:rPr>
                <w:rFonts w:ascii="Calibri" w:hAnsi="Calibri"/>
                <w:b w:val="0"/>
                <w:i w:val="0"/>
                <w:color w:val="2D2D2D"/>
                <w:sz w:val="18"/>
              </w:rPr>
              <w:t>Reclassification formalisée par attachement contradictoire signé des deux parties, documentée par photos du front de taille et mesures géoréférencées. Concertation avec le BET pour la révision des profils de terrassement impactés. Compensation intégrale par les économies réalisées sur les remblais réels (quantités inférieures aux prévisions) et sur une section de revêtement. Résultat : surcoût de 285 000 DH entièrement absorbé — réception sans avenant.</w:t>
            </w:r>
          </w:p>
        </w:tc>
      </w:tr>
      <w:tr>
        <w:tc>
          <w:tcPr>
            <w:tcW w:type="dxa" w:w="1984"/>
            <w:shd w:val="clear" w:color="auto" w:fill="FFFFFF"/>
            <w:tcBorders>
              <w:bottom w:val="single" w:sz="4" w:color="DDDDDD" w:space="0"/>
            </w:tcBorders>
          </w:tcPr>
          <w:p>
            <w:pPr>
              <w:spacing w:before="60" w:after="60"/>
            </w:pPr>
            <w:r>
              <w:rPr>
                <w:rFonts w:ascii="Calibri" w:hAnsi="Calibri"/>
                <w:b w:val="0"/>
                <w:i w:val="0"/>
                <w:color w:val="2D2D2D"/>
                <w:sz w:val="18"/>
              </w:rPr>
              <w:t>Ouvrages hydrauliques</w:t>
            </w:r>
          </w:p>
        </w:tc>
        <w:tc>
          <w:tcPr>
            <w:tcW w:type="dxa" w:w="3685"/>
            <w:shd w:val="clear" w:color="auto" w:fill="FFFFFF"/>
            <w:tcBorders>
              <w:bottom w:val="single" w:sz="4" w:color="DDDDDD" w:space="0"/>
            </w:tcBorders>
          </w:tcPr>
          <w:p>
            <w:pPr>
              <w:spacing w:before="60" w:after="60"/>
            </w:pPr>
            <w:r>
              <w:rPr>
                <w:rFonts w:ascii="Calibri" w:hAnsi="Calibri"/>
                <w:b w:val="0"/>
                <w:i w:val="0"/>
                <w:color w:val="2D2D2D"/>
                <w:sz w:val="18"/>
              </w:rPr>
              <w:t>Trois talwegs (aux PK 15+500, 18+200 et 21+800) ont nécessité des ouvrages de franchissement non prévus au marché initial. Le dimensionnement des buses initialement prévu s'avérait insuffisant face aux débits observés pendant les travaux. Des dalots 3×2×2 m en béton armé étaient indispensables. Traités comme travaux supplémentaires, ils auraient représenté 28,1% du budget total — un avenant inévitable, engageant la responsabilité technique de l'Agence.</w:t>
            </w:r>
          </w:p>
        </w:tc>
        <w:tc>
          <w:tcPr>
            <w:tcW w:type="dxa" w:w="3685"/>
            <w:shd w:val="clear" w:color="auto" w:fill="FFFFFF"/>
            <w:tcBorders>
              <w:bottom w:val="single" w:sz="4" w:color="DDDDDD" w:space="0"/>
            </w:tcBorders>
          </w:tcPr>
          <w:p>
            <w:pPr>
              <w:spacing w:before="60" w:after="60"/>
            </w:pPr>
            <w:r>
              <w:rPr>
                <w:rFonts w:ascii="Calibri" w:hAnsi="Calibri"/>
                <w:b w:val="0"/>
                <w:i w:val="0"/>
                <w:color w:val="2D2D2D"/>
                <w:sz w:val="18"/>
              </w:rPr>
              <w:t>Dimensionnement rigoureux avec le BET NOVEC sur la base du débit centennal Q100. Calcul des armatures HA12+HA16 validé par le bureau structure. Repositionnement stratégique des buses Ø1000 initialement prévues pour optimiser l'hydraulique. Intégration de l'ensemble dans l'enveloppe globale par compensation sur d'autres postes. Réception provisoire dans les délais contractuels — aucun avenant, aucune réclamation de l'entreprise.</w:t>
            </w:r>
          </w:p>
        </w:tc>
      </w:tr>
    </w:tbl>
    <w:p>
      <w:pPr>
        <w:spacing w:after="160"/>
      </w:pPr>
    </w:p>
    <w:p>
      <w:r>
        <w:b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4"/>
            <w:shd w:val="clear" w:color="auto" w:fill="1E3A5F"/>
          </w:tcPr>
          <w:p>
            <w:pPr>
              <w:spacing w:before="160" w:after="160"/>
              <w:jc w:val="left"/>
            </w:pPr>
            <w:r>
              <w:rPr>
                <w:rFonts w:ascii="Calibri" w:hAnsi="Calibri"/>
                <w:b/>
                <w:i w:val="0"/>
                <w:color w:val="FFFFFF"/>
                <w:sz w:val="32"/>
              </w:rPr>
              <w:t>ACTIVITÉS COMPLÉMENTAIRES</w:t>
            </w:r>
          </w:p>
          <w:p>
            <w:pPr>
              <w:spacing w:before="40" w:after="120"/>
              <w:jc w:val="left"/>
            </w:pPr>
            <w:r>
              <w:rPr>
                <w:rFonts w:ascii="Calibri" w:hAnsi="Calibri"/>
                <w:b w:val="0"/>
                <w:i w:val="0"/>
                <w:color w:val="CCE5F5"/>
                <w:sz w:val="18"/>
              </w:rPr>
              <w:t>5 autres marchés au Conseil Régional | Expérience terrain France</w:t>
            </w:r>
          </w:p>
        </w:tc>
      </w:tr>
    </w:tbl>
    <w:p/>
    <w:p>
      <w:pPr>
        <w:spacing w:before="360" w:after="120"/>
      </w:pPr>
      <w:r>
        <w:rPr>
          <w:rFonts w:ascii="Calibri" w:hAnsi="Calibri"/>
          <w:b/>
          <w:i w:val="0"/>
          <w:color w:val="2E86C1"/>
          <w:sz w:val="26"/>
        </w:rPr>
        <w:t>4.1 Autres marchés suivis au Conseil Régional</w:t>
      </w:r>
    </w:p>
    <w:p>
      <w:pPr>
        <w:spacing w:before="0" w:after="120"/>
        <w:jc w:val="both"/>
      </w:pPr>
      <w:r>
        <w:rPr>
          <w:rFonts w:ascii="Calibri" w:hAnsi="Calibri"/>
          <w:b w:val="0"/>
          <w:i w:val="0"/>
          <w:color w:val="2D2D2D"/>
          <w:sz w:val="21"/>
        </w:rPr>
        <w:t>En parallèle des deux projets principaux, j'ai participé au suivi de cinq autres marchés de travaux, couvrant des types d'infrastructures variés : routes rurales, pistes, adduction d'eau potable et voirie urbaine. Sur ces marchés : vérification des implantations, participation aux commissions d'ouverture des plis, suivi des ordres de service et vérification ponctuelle des situations de travaux.</w:t>
      </w:r>
    </w:p>
    <w:tbl>
      <w:tblPr>
        <w:tblW w:type="auto" w:w="0"/>
        <w:tblLook w:firstColumn="1" w:firstRow="1" w:lastColumn="0" w:lastRow="0" w:noHBand="0" w:noVBand="1" w:val="04A0"/>
        <w:tblBorders>
          <w:top w:val="none"/>
          <w:left w:val="none"/>
          <w:bottom w:val="none"/>
          <w:right w:val="none"/>
          <w:insideH w:val="none"/>
          <w:insideV w:val="none"/>
        </w:tblBorders>
      </w:tblPr>
      <w:tblGrid>
        <w:gridCol w:w="3118"/>
        <w:gridCol w:w="3118"/>
        <w:gridCol w:w="3118"/>
      </w:tblGrid>
      <w:tr>
        <w:tc>
          <w:tcPr>
            <w:tcW w:type="dxa" w:w="1417"/>
            <w:shd w:val="clear" w:color="auto" w:fill="1E3A5F"/>
          </w:tcPr>
          <w:p>
            <w:pPr>
              <w:spacing w:before="80" w:after="80"/>
              <w:jc w:val="center"/>
            </w:pPr>
            <w:r>
              <w:rPr>
                <w:rFonts w:ascii="Calibri" w:hAnsi="Calibri"/>
                <w:b/>
                <w:i w:val="0"/>
                <w:color w:val="FFFFFF"/>
                <w:sz w:val="17"/>
              </w:rPr>
              <w:t>N° Marché</w:t>
            </w:r>
          </w:p>
        </w:tc>
        <w:tc>
          <w:tcPr>
            <w:tcW w:type="dxa" w:w="5102"/>
            <w:shd w:val="clear" w:color="auto" w:fill="1E3A5F"/>
          </w:tcPr>
          <w:p>
            <w:pPr>
              <w:spacing w:before="80" w:after="80"/>
              <w:jc w:val="center"/>
            </w:pPr>
            <w:r>
              <w:rPr>
                <w:rFonts w:ascii="Calibri" w:hAnsi="Calibri"/>
                <w:b/>
                <w:i w:val="0"/>
                <w:color w:val="FFFFFF"/>
                <w:sz w:val="17"/>
              </w:rPr>
              <w:t>Objet des travaux</w:t>
            </w:r>
          </w:p>
        </w:tc>
        <w:tc>
          <w:tcPr>
            <w:tcW w:type="dxa" w:w="2835"/>
            <w:shd w:val="clear" w:color="auto" w:fill="1E3A5F"/>
          </w:tcPr>
          <w:p>
            <w:pPr>
              <w:spacing w:before="80" w:after="80"/>
              <w:jc w:val="center"/>
            </w:pPr>
            <w:r>
              <w:rPr>
                <w:rFonts w:ascii="Calibri" w:hAnsi="Calibri"/>
                <w:b/>
                <w:i w:val="0"/>
                <w:color w:val="FFFFFF"/>
                <w:sz w:val="17"/>
              </w:rPr>
              <w:t>Type / Montant</w:t>
            </w:r>
          </w:p>
        </w:tc>
      </w:tr>
      <w:tr>
        <w:tc>
          <w:tcPr>
            <w:tcW w:type="dxa" w:w="1417"/>
            <w:shd w:val="clear" w:color="auto" w:fill="F0F4F8"/>
            <w:tcBorders>
              <w:bottom w:val="single" w:sz="4" w:color="DDDDDD" w:space="0"/>
            </w:tcBorders>
          </w:tcPr>
          <w:p>
            <w:pPr>
              <w:spacing w:before="60" w:after="60"/>
            </w:pPr>
            <w:r>
              <w:rPr>
                <w:rFonts w:ascii="Calibri" w:hAnsi="Calibri"/>
                <w:b w:val="0"/>
                <w:i w:val="0"/>
                <w:color w:val="2D2D2D"/>
                <w:sz w:val="18"/>
              </w:rPr>
              <w:t>27-RBK-2017</w:t>
            </w:r>
          </w:p>
        </w:tc>
        <w:tc>
          <w:tcPr>
            <w:tcW w:type="dxa" w:w="5102"/>
            <w:shd w:val="clear" w:color="auto" w:fill="F0F4F8"/>
            <w:tcBorders>
              <w:bottom w:val="single" w:sz="4" w:color="DDDDDD" w:space="0"/>
            </w:tcBorders>
          </w:tcPr>
          <w:p>
            <w:pPr>
              <w:spacing w:before="60" w:after="60"/>
            </w:pPr>
            <w:r>
              <w:rPr>
                <w:rFonts w:ascii="Calibri" w:hAnsi="Calibri"/>
                <w:b w:val="0"/>
                <w:i w:val="0"/>
                <w:color w:val="2D2D2D"/>
                <w:sz w:val="18"/>
              </w:rPr>
              <w:t>Route village Sidi Bouabbad → Oued Grou (12 km)</w:t>
            </w:r>
          </w:p>
        </w:tc>
        <w:tc>
          <w:tcPr>
            <w:tcW w:type="dxa" w:w="2835"/>
            <w:shd w:val="clear" w:color="auto" w:fill="F0F4F8"/>
            <w:tcBorders>
              <w:bottom w:val="single" w:sz="4" w:color="DDDDDD" w:space="0"/>
            </w:tcBorders>
          </w:tcPr>
          <w:p>
            <w:pPr>
              <w:spacing w:before="60" w:after="60"/>
            </w:pPr>
            <w:r>
              <w:rPr>
                <w:rFonts w:ascii="Calibri" w:hAnsi="Calibri"/>
                <w:b w:val="0"/>
                <w:i w:val="0"/>
                <w:color w:val="2D2D2D"/>
                <w:sz w:val="18"/>
              </w:rPr>
              <w:t>Route rurale | 8,2 M DH</w:t>
            </w:r>
          </w:p>
        </w:tc>
      </w:tr>
      <w:tr>
        <w:tc>
          <w:tcPr>
            <w:tcW w:type="dxa" w:w="1417"/>
            <w:shd w:val="clear" w:color="auto" w:fill="FFFFFF"/>
            <w:tcBorders>
              <w:bottom w:val="single" w:sz="4" w:color="DDDDDD" w:space="0"/>
            </w:tcBorders>
          </w:tcPr>
          <w:p>
            <w:pPr>
              <w:spacing w:before="60" w:after="60"/>
            </w:pPr>
            <w:r>
              <w:rPr>
                <w:rFonts w:ascii="Calibri" w:hAnsi="Calibri"/>
                <w:b w:val="0"/>
                <w:i w:val="0"/>
                <w:color w:val="2D2D2D"/>
                <w:sz w:val="18"/>
              </w:rPr>
              <w:t>28-RBK-2017</w:t>
            </w:r>
          </w:p>
        </w:tc>
        <w:tc>
          <w:tcPr>
            <w:tcW w:type="dxa" w:w="5102"/>
            <w:shd w:val="clear" w:color="auto" w:fill="FFFFFF"/>
            <w:tcBorders>
              <w:bottom w:val="single" w:sz="4" w:color="DDDDDD" w:space="0"/>
            </w:tcBorders>
          </w:tcPr>
          <w:p>
            <w:pPr>
              <w:spacing w:before="60" w:after="60"/>
            </w:pPr>
            <w:r>
              <w:rPr>
                <w:rFonts w:ascii="Calibri" w:hAnsi="Calibri"/>
                <w:b w:val="0"/>
                <w:i w:val="0"/>
                <w:color w:val="2D2D2D"/>
                <w:sz w:val="18"/>
              </w:rPr>
              <w:t>Route Ajdir-Ayoun + Piste Lijon Kichchon</w:t>
            </w:r>
          </w:p>
        </w:tc>
        <w:tc>
          <w:tcPr>
            <w:tcW w:type="dxa" w:w="2835"/>
            <w:shd w:val="clear" w:color="auto" w:fill="FFFFFF"/>
            <w:tcBorders>
              <w:bottom w:val="single" w:sz="4" w:color="DDDDDD" w:space="0"/>
            </w:tcBorders>
          </w:tcPr>
          <w:p>
            <w:pPr>
              <w:spacing w:before="60" w:after="60"/>
            </w:pPr>
            <w:r>
              <w:rPr>
                <w:rFonts w:ascii="Calibri" w:hAnsi="Calibri"/>
                <w:b w:val="0"/>
                <w:i w:val="0"/>
                <w:color w:val="2D2D2D"/>
                <w:sz w:val="18"/>
              </w:rPr>
              <w:t>Route + Piste | 6,5 M DH</w:t>
            </w:r>
          </w:p>
        </w:tc>
      </w:tr>
      <w:tr>
        <w:tc>
          <w:tcPr>
            <w:tcW w:type="dxa" w:w="1417"/>
            <w:shd w:val="clear" w:color="auto" w:fill="F0F4F8"/>
            <w:tcBorders>
              <w:bottom w:val="single" w:sz="4" w:color="DDDDDD" w:space="0"/>
            </w:tcBorders>
          </w:tcPr>
          <w:p>
            <w:pPr>
              <w:spacing w:before="60" w:after="60"/>
            </w:pPr>
            <w:r>
              <w:rPr>
                <w:rFonts w:ascii="Calibri" w:hAnsi="Calibri"/>
                <w:b w:val="0"/>
                <w:i w:val="0"/>
                <w:color w:val="2D2D2D"/>
                <w:sz w:val="18"/>
              </w:rPr>
              <w:t>30-RBK-2017</w:t>
            </w:r>
          </w:p>
        </w:tc>
        <w:tc>
          <w:tcPr>
            <w:tcW w:type="dxa" w:w="5102"/>
            <w:shd w:val="clear" w:color="auto" w:fill="F0F4F8"/>
            <w:tcBorders>
              <w:bottom w:val="single" w:sz="4" w:color="DDDDDD" w:space="0"/>
            </w:tcBorders>
          </w:tcPr>
          <w:p>
            <w:pPr>
              <w:spacing w:before="60" w:after="60"/>
            </w:pPr>
            <w:r>
              <w:rPr>
                <w:rFonts w:ascii="Calibri" w:hAnsi="Calibri"/>
                <w:b w:val="0"/>
                <w:i w:val="0"/>
                <w:color w:val="2D2D2D"/>
                <w:sz w:val="18"/>
              </w:rPr>
              <w:t>Adduction Eau Potable El Borj – El Hamam (18 km)</w:t>
            </w:r>
          </w:p>
        </w:tc>
        <w:tc>
          <w:tcPr>
            <w:tcW w:type="dxa" w:w="2835"/>
            <w:shd w:val="clear" w:color="auto" w:fill="F0F4F8"/>
            <w:tcBorders>
              <w:bottom w:val="single" w:sz="4" w:color="DDDDDD" w:space="0"/>
            </w:tcBorders>
          </w:tcPr>
          <w:p>
            <w:pPr>
              <w:spacing w:before="60" w:after="60"/>
            </w:pPr>
            <w:r>
              <w:rPr>
                <w:rFonts w:ascii="Calibri" w:hAnsi="Calibri"/>
                <w:b w:val="0"/>
                <w:i w:val="0"/>
                <w:color w:val="2D2D2D"/>
                <w:sz w:val="18"/>
              </w:rPr>
              <w:t>AEP | 4,8 M DH</w:t>
            </w:r>
          </w:p>
        </w:tc>
      </w:tr>
      <w:tr>
        <w:tc>
          <w:tcPr>
            <w:tcW w:type="dxa" w:w="1417"/>
            <w:shd w:val="clear" w:color="auto" w:fill="FFFFFF"/>
            <w:tcBorders>
              <w:bottom w:val="single" w:sz="4" w:color="DDDDDD" w:space="0"/>
            </w:tcBorders>
          </w:tcPr>
          <w:p>
            <w:pPr>
              <w:spacing w:before="60" w:after="60"/>
            </w:pPr>
            <w:r>
              <w:rPr>
                <w:rFonts w:ascii="Calibri" w:hAnsi="Calibri"/>
                <w:b w:val="0"/>
                <w:i w:val="0"/>
                <w:color w:val="2D2D2D"/>
                <w:sz w:val="18"/>
              </w:rPr>
              <w:t>39-RBK-2017</w:t>
            </w:r>
          </w:p>
        </w:tc>
        <w:tc>
          <w:tcPr>
            <w:tcW w:type="dxa" w:w="5102"/>
            <w:shd w:val="clear" w:color="auto" w:fill="FFFFFF"/>
            <w:tcBorders>
              <w:bottom w:val="single" w:sz="4" w:color="DDDDDD" w:space="0"/>
            </w:tcBorders>
          </w:tcPr>
          <w:p>
            <w:pPr>
              <w:spacing w:before="60" w:after="60"/>
            </w:pPr>
            <w:r>
              <w:rPr>
                <w:rFonts w:ascii="Calibri" w:hAnsi="Calibri"/>
                <w:b w:val="0"/>
                <w:i w:val="0"/>
                <w:color w:val="2D2D2D"/>
                <w:sz w:val="18"/>
              </w:rPr>
              <w:t>Pistes Hartaf – Sebt Ait Rahou (9 km)</w:t>
            </w:r>
          </w:p>
        </w:tc>
        <w:tc>
          <w:tcPr>
            <w:tcW w:type="dxa" w:w="2835"/>
            <w:shd w:val="clear" w:color="auto" w:fill="FFFFFF"/>
            <w:tcBorders>
              <w:bottom w:val="single" w:sz="4" w:color="DDDDDD" w:space="0"/>
            </w:tcBorders>
          </w:tcPr>
          <w:p>
            <w:pPr>
              <w:spacing w:before="60" w:after="60"/>
            </w:pPr>
            <w:r>
              <w:rPr>
                <w:rFonts w:ascii="Calibri" w:hAnsi="Calibri"/>
                <w:b w:val="0"/>
                <w:i w:val="0"/>
                <w:color w:val="2D2D2D"/>
                <w:sz w:val="18"/>
              </w:rPr>
              <w:t>Pistes rurales | 3,1 M DH</w:t>
            </w:r>
          </w:p>
        </w:tc>
      </w:tr>
      <w:tr>
        <w:tc>
          <w:tcPr>
            <w:tcW w:type="dxa" w:w="1417"/>
            <w:shd w:val="clear" w:color="auto" w:fill="F0F4F8"/>
            <w:tcBorders>
              <w:bottom w:val="single" w:sz="4" w:color="DDDDDD" w:space="0"/>
            </w:tcBorders>
          </w:tcPr>
          <w:p>
            <w:pPr>
              <w:spacing w:before="60" w:after="60"/>
            </w:pPr>
            <w:r>
              <w:rPr>
                <w:rFonts w:ascii="Calibri" w:hAnsi="Calibri"/>
                <w:b w:val="0"/>
                <w:i w:val="0"/>
                <w:color w:val="2D2D2D"/>
                <w:sz w:val="18"/>
              </w:rPr>
              <w:t>49-RBK-2016</w:t>
            </w:r>
          </w:p>
        </w:tc>
        <w:tc>
          <w:tcPr>
            <w:tcW w:type="dxa" w:w="5102"/>
            <w:shd w:val="clear" w:color="auto" w:fill="F0F4F8"/>
            <w:tcBorders>
              <w:bottom w:val="single" w:sz="4" w:color="DDDDDD" w:space="0"/>
            </w:tcBorders>
          </w:tcPr>
          <w:p>
            <w:pPr>
              <w:spacing w:before="60" w:after="60"/>
            </w:pPr>
            <w:r>
              <w:rPr>
                <w:rFonts w:ascii="Calibri" w:hAnsi="Calibri"/>
                <w:b w:val="0"/>
                <w:i w:val="0"/>
                <w:color w:val="2D2D2D"/>
                <w:sz w:val="18"/>
              </w:rPr>
              <w:t>Aménagement voie Amghass – Bouchbel</w:t>
            </w:r>
          </w:p>
        </w:tc>
        <w:tc>
          <w:tcPr>
            <w:tcW w:type="dxa" w:w="2835"/>
            <w:shd w:val="clear" w:color="auto" w:fill="F0F4F8"/>
            <w:tcBorders>
              <w:bottom w:val="single" w:sz="4" w:color="DDDDDD" w:space="0"/>
            </w:tcBorders>
          </w:tcPr>
          <w:p>
            <w:pPr>
              <w:spacing w:before="60" w:after="60"/>
            </w:pPr>
            <w:r>
              <w:rPr>
                <w:rFonts w:ascii="Calibri" w:hAnsi="Calibri"/>
                <w:b w:val="0"/>
                <w:i w:val="0"/>
                <w:color w:val="2D2D2D"/>
                <w:sz w:val="18"/>
              </w:rPr>
              <w:t>Voirie urbaine | 5,9 M DH</w:t>
            </w:r>
          </w:p>
        </w:tc>
      </w:tr>
    </w:tbl>
    <w:p>
      <w:pPr>
        <w:spacing w:after="160"/>
      </w:pPr>
    </w:p>
    <w:p>
      <w:pPr>
        <w:spacing w:before="360" w:after="120"/>
      </w:pPr>
      <w:r>
        <w:rPr>
          <w:rFonts w:ascii="Calibri" w:hAnsi="Calibri"/>
          <w:b/>
          <w:i w:val="0"/>
          <w:color w:val="2E86C1"/>
          <w:sz w:val="26"/>
        </w:rPr>
        <w:t>4.2 Expérience terrain en France (2022-2024)</w:t>
      </w:r>
    </w:p>
    <w:p>
      <w:pPr>
        <w:spacing w:before="0" w:after="120"/>
        <w:jc w:val="both"/>
      </w:pPr>
      <w:r>
        <w:rPr>
          <w:rFonts w:ascii="Calibri" w:hAnsi="Calibri"/>
          <w:b w:val="0"/>
          <w:i w:val="0"/>
          <w:color w:val="2D2D2D"/>
          <w:sz w:val="21"/>
        </w:rPr>
        <w:t>L'expérience terrain en France a profondément enrichi ma vision de l'économiste de la construction. Comprendre les coûts réels de production — main-d'œuvre, rendements, consommation de matériaux, coûts de matériel — rend les estimations infiniment plus justes. Maîtriser les techniques de gros œuvre (coffrage, ferraillage, bétonnage) est indispensable pour réaliser des métrés précis et analyser les offres avec pertinence.</w:t>
      </w:r>
    </w:p>
    <w:p>
      <w:pPr>
        <w:spacing w:before="40" w:after="40"/>
        <w:ind w:left="283"/>
      </w:pPr>
      <w:r>
        <w:rPr>
          <w:rFonts w:ascii="Calibri" w:hAnsi="Calibri"/>
          <w:b/>
          <w:i w:val="0"/>
          <w:color w:val="F39200"/>
          <w:sz w:val="20"/>
        </w:rPr>
        <w:t xml:space="preserve">▸  </w:t>
      </w:r>
      <w:r>
        <w:rPr>
          <w:rFonts w:ascii="Calibri" w:hAnsi="Calibri"/>
          <w:b w:val="0"/>
          <w:i w:val="0"/>
          <w:color w:val="2D2D2D"/>
          <w:sz w:val="20"/>
        </w:rPr>
        <w:t>2022-2023 — Chef d'équipe GO – Ergalis BTP, Feurs (Loire) : Lecture plans, implantation/traçage, montage banches, armatures HA, coulage, cycles coffrage — GO structurel</w:t>
      </w:r>
    </w:p>
    <w:p>
      <w:pPr>
        <w:spacing w:before="40" w:after="40"/>
        <w:ind w:left="283"/>
      </w:pPr>
      <w:r>
        <w:rPr>
          <w:rFonts w:ascii="Calibri" w:hAnsi="Calibri"/>
          <w:b/>
          <w:i w:val="0"/>
          <w:color w:val="F39200"/>
          <w:sz w:val="20"/>
        </w:rPr>
        <w:t xml:space="preserve">▸  </w:t>
      </w:r>
      <w:r>
        <w:rPr>
          <w:rFonts w:ascii="Calibri" w:hAnsi="Calibri"/>
          <w:b w:val="0"/>
          <w:i w:val="0"/>
          <w:color w:val="2D2D2D"/>
          <w:sz w:val="20"/>
        </w:rPr>
        <w:t>2024 — Chef de chantier – Minssieux et Fils, Mornant (Rhône) : Encadrement opérationnel d'équipe, planning quotidien, avancement, contrôle qualité béton et maçonnerie</w:t>
      </w:r>
    </w:p>
    <w:p>
      <w:r>
        <w:b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4"/>
            <w:shd w:val="clear" w:color="auto" w:fill="0F1B2D"/>
          </w:tcPr>
          <w:p>
            <w:pPr>
              <w:spacing w:before="160" w:after="160"/>
              <w:jc w:val="left"/>
            </w:pPr>
            <w:r>
              <w:rPr>
                <w:rFonts w:ascii="Calibri" w:hAnsi="Calibri"/>
                <w:b/>
                <w:i w:val="0"/>
                <w:color w:val="FFFFFF"/>
                <w:sz w:val="32"/>
              </w:rPr>
              <w:t>04 — BILAN ET ANALYSE</w:t>
            </w:r>
          </w:p>
          <w:p>
            <w:pPr>
              <w:spacing w:before="40" w:after="120"/>
              <w:jc w:val="left"/>
            </w:pPr>
            <w:r>
              <w:rPr>
                <w:rFonts w:ascii="Calibri" w:hAnsi="Calibri"/>
                <w:b w:val="0"/>
                <w:i w:val="0"/>
                <w:color w:val="CCE5F5"/>
                <w:sz w:val="18"/>
              </w:rPr>
              <w:t>Compétences | Comparaison Maroc/France | Bilan réflexif | BIM | Projet pro</w:t>
            </w:r>
          </w:p>
        </w:tc>
      </w:tr>
    </w:tbl>
    <w:p/>
    <w:p>
      <w:pPr>
        <w:spacing w:before="360" w:after="120"/>
      </w:pPr>
      <w:r>
        <w:rPr>
          <w:rFonts w:ascii="Calibri" w:hAnsi="Calibri"/>
          <w:b/>
          <w:i w:val="0"/>
          <w:color w:val="2E86C1"/>
          <w:sz w:val="26"/>
        </w:rPr>
        <w:t>5.1 Synthèse des activités et compétences</w:t>
      </w:r>
    </w:p>
    <w:p>
      <w:pPr>
        <w:spacing w:before="0" w:after="120"/>
        <w:jc w:val="both"/>
      </w:pPr>
      <w:r>
        <w:rPr>
          <w:rFonts w:ascii="Calibri" w:hAnsi="Calibri"/>
          <w:b w:val="0"/>
          <w:i w:val="0"/>
          <w:color w:val="2D2D2D"/>
          <w:sz w:val="21"/>
        </w:rPr>
        <w:t>Ce tableau synthétise les activités professionnelles réalisées sur les deux projets et les cinq situations CPAR, croisées avec les compétences du BTS MEC mobilisées. La triple compétence MOA + Exécution + BIM permet d'établir des estimations réalistes, d'analyser les offres avec pertinence et d'exploiter les maquettes numériques pour des métrés précis. Niveau Maîtrise : pratique régulière et autonome. Niveau Expert : transmission aux collaborateurs.</w:t>
      </w:r>
    </w:p>
    <w:tbl>
      <w:tblPr>
        <w:tblW w:type="auto" w:w="0"/>
        <w:tblLook w:firstColumn="1" w:firstRow="1" w:lastColumn="0" w:lastRow="0" w:noHBand="0" w:noVBand="1" w:val="04A0"/>
        <w:tblBorders>
          <w:top w:val="none"/>
          <w:left w:val="none"/>
          <w:bottom w:val="none"/>
          <w:right w:val="none"/>
          <w:insideH w:val="none"/>
          <w:insideV w:val="none"/>
        </w:tblBorders>
      </w:tblPr>
      <w:tblGrid>
        <w:gridCol w:w="2339"/>
        <w:gridCol w:w="2339"/>
        <w:gridCol w:w="2339"/>
        <w:gridCol w:w="2339"/>
      </w:tblGrid>
      <w:tr>
        <w:tc>
          <w:tcPr>
            <w:tcW w:type="dxa" w:w="3685"/>
            <w:shd w:val="clear" w:color="auto" w:fill="1E3A5F"/>
          </w:tcPr>
          <w:p>
            <w:pPr>
              <w:spacing w:before="80" w:after="80"/>
              <w:jc w:val="center"/>
            </w:pPr>
            <w:r>
              <w:rPr>
                <w:rFonts w:ascii="Calibri" w:hAnsi="Calibri"/>
                <w:b/>
                <w:i w:val="0"/>
                <w:color w:val="FFFFFF"/>
                <w:sz w:val="17"/>
              </w:rPr>
              <w:t>Activité réalisée</w:t>
            </w:r>
          </w:p>
        </w:tc>
        <w:tc>
          <w:tcPr>
            <w:tcW w:type="dxa" w:w="2551"/>
            <w:shd w:val="clear" w:color="auto" w:fill="1E3A5F"/>
          </w:tcPr>
          <w:p>
            <w:pPr>
              <w:spacing w:before="80" w:after="80"/>
              <w:jc w:val="center"/>
            </w:pPr>
            <w:r>
              <w:rPr>
                <w:rFonts w:ascii="Calibri" w:hAnsi="Calibri"/>
                <w:b/>
                <w:i w:val="0"/>
                <w:color w:val="FFFFFF"/>
                <w:sz w:val="17"/>
              </w:rPr>
              <w:t>Sous-compétence mobilisée</w:t>
            </w:r>
          </w:p>
        </w:tc>
        <w:tc>
          <w:tcPr>
            <w:tcW w:type="dxa" w:w="1417"/>
            <w:shd w:val="clear" w:color="auto" w:fill="1E3A5F"/>
          </w:tcPr>
          <w:p>
            <w:pPr>
              <w:spacing w:before="80" w:after="80"/>
              <w:jc w:val="center"/>
            </w:pPr>
            <w:r>
              <w:rPr>
                <w:rFonts w:ascii="Calibri" w:hAnsi="Calibri"/>
                <w:b/>
                <w:i w:val="0"/>
                <w:color w:val="FFFFFF"/>
                <w:sz w:val="17"/>
              </w:rPr>
              <w:t>Situation</w:t>
            </w:r>
          </w:p>
        </w:tc>
        <w:tc>
          <w:tcPr>
            <w:tcW w:type="dxa" w:w="1701"/>
            <w:shd w:val="clear" w:color="auto" w:fill="1E3A5F"/>
          </w:tcPr>
          <w:p>
            <w:pPr>
              <w:spacing w:before="80" w:after="80"/>
              <w:jc w:val="center"/>
            </w:pPr>
            <w:r>
              <w:rPr>
                <w:rFonts w:ascii="Calibri" w:hAnsi="Calibri"/>
                <w:b/>
                <w:i w:val="0"/>
                <w:color w:val="FFFFFF"/>
                <w:sz w:val="17"/>
              </w:rPr>
              <w:t>Niveau</w:t>
            </w:r>
          </w:p>
        </w:tc>
      </w:tr>
      <w:tr>
        <w:tc>
          <w:tcPr>
            <w:tcW w:type="dxa" w:w="3685"/>
            <w:shd w:val="clear" w:color="auto" w:fill="F0F4F8"/>
            <w:tcBorders>
              <w:bottom w:val="single" w:sz="4" w:color="DDDDDD" w:space="0"/>
            </w:tcBorders>
          </w:tcPr>
          <w:p>
            <w:pPr>
              <w:spacing w:before="60" w:after="60"/>
            </w:pPr>
            <w:r>
              <w:rPr>
                <w:rFonts w:ascii="Calibri" w:hAnsi="Calibri"/>
                <w:b w:val="0"/>
                <w:i w:val="0"/>
                <w:color w:val="2D2D2D"/>
                <w:sz w:val="18"/>
              </w:rPr>
              <w:t>Métrés détaillés : 112 prix × 4 communes, surfaces/linéaires/volumes</w:t>
            </w:r>
          </w:p>
        </w:tc>
        <w:tc>
          <w:tcPr>
            <w:tcW w:type="dxa" w:w="2551"/>
            <w:shd w:val="clear" w:color="auto" w:fill="F0F4F8"/>
            <w:tcBorders>
              <w:bottom w:val="single" w:sz="4" w:color="DDDDDD" w:space="0"/>
            </w:tcBorders>
          </w:tcPr>
          <w:p>
            <w:pPr>
              <w:spacing w:before="60" w:after="60"/>
            </w:pPr>
            <w:r>
              <w:rPr>
                <w:rFonts w:ascii="Calibri" w:hAnsi="Calibri"/>
                <w:b w:val="0"/>
                <w:i w:val="0"/>
                <w:color w:val="2D2D2D"/>
                <w:sz w:val="18"/>
              </w:rPr>
              <w:t>Réaliser des métrés tous corps d'état</w:t>
            </w:r>
          </w:p>
        </w:tc>
        <w:tc>
          <w:tcPr>
            <w:tcW w:type="dxa" w:w="1417"/>
            <w:shd w:val="clear" w:color="auto" w:fill="F0F4F8"/>
            <w:tcBorders>
              <w:bottom w:val="single" w:sz="4" w:color="DDDDDD" w:space="0"/>
            </w:tcBorders>
          </w:tcPr>
          <w:p>
            <w:pPr>
              <w:spacing w:before="60" w:after="60"/>
            </w:pPr>
            <w:r>
              <w:rPr>
                <w:rFonts w:ascii="Calibri" w:hAnsi="Calibri"/>
                <w:b w:val="0"/>
                <w:i w:val="0"/>
                <w:color w:val="2D2D2D"/>
                <w:sz w:val="18"/>
              </w:rPr>
              <w:t>Situation 1</w:t>
            </w:r>
          </w:p>
        </w:tc>
        <w:tc>
          <w:tcPr>
            <w:tcW w:type="dxa" w:w="1701"/>
            <w:shd w:val="clear" w:color="auto" w:fill="F0F4F8"/>
            <w:tcBorders>
              <w:bottom w:val="single" w:sz="4" w:color="DDDDDD" w:space="0"/>
            </w:tcBorders>
          </w:tcPr>
          <w:p>
            <w:pPr>
              <w:spacing w:before="60" w:after="60"/>
            </w:pPr>
            <w:r>
              <w:rPr>
                <w:rFonts w:ascii="Calibri" w:hAnsi="Calibri"/>
                <w:b w:val="0"/>
                <w:i w:val="0"/>
                <w:color w:val="2D2D2D"/>
                <w:sz w:val="18"/>
              </w:rPr>
              <w:t>Maîtrise</w:t>
            </w:r>
          </w:p>
        </w:tc>
      </w:tr>
      <w:tr>
        <w:tc>
          <w:tcPr>
            <w:tcW w:type="dxa" w:w="3685"/>
            <w:shd w:val="clear" w:color="auto" w:fill="FFFFFF"/>
            <w:tcBorders>
              <w:bottom w:val="single" w:sz="4" w:color="DDDDDD" w:space="0"/>
            </w:tcBorders>
          </w:tcPr>
          <w:p>
            <w:pPr>
              <w:spacing w:before="60" w:after="60"/>
            </w:pPr>
            <w:r>
              <w:rPr>
                <w:rFonts w:ascii="Calibri" w:hAnsi="Calibri"/>
                <w:b w:val="0"/>
                <w:i w:val="0"/>
                <w:color w:val="2D2D2D"/>
                <w:sz w:val="18"/>
              </w:rPr>
              <w:t>Estimation confidentielle 15,8 M DH, croisement 3 sources de prix</w:t>
            </w:r>
          </w:p>
        </w:tc>
        <w:tc>
          <w:tcPr>
            <w:tcW w:type="dxa" w:w="2551"/>
            <w:shd w:val="clear" w:color="auto" w:fill="FFFFFF"/>
            <w:tcBorders>
              <w:bottom w:val="single" w:sz="4" w:color="DDDDDD" w:space="0"/>
            </w:tcBorders>
          </w:tcPr>
          <w:p>
            <w:pPr>
              <w:spacing w:before="60" w:after="60"/>
            </w:pPr>
            <w:r>
              <w:rPr>
                <w:rFonts w:ascii="Calibri" w:hAnsi="Calibri"/>
                <w:b w:val="0"/>
                <w:i w:val="0"/>
                <w:color w:val="2D2D2D"/>
                <w:sz w:val="18"/>
              </w:rPr>
              <w:t>Estimer un ouvrage en phase AO</w:t>
            </w:r>
          </w:p>
        </w:tc>
        <w:tc>
          <w:tcPr>
            <w:tcW w:type="dxa" w:w="1417"/>
            <w:shd w:val="clear" w:color="auto" w:fill="FFFFFF"/>
            <w:tcBorders>
              <w:bottom w:val="single" w:sz="4" w:color="DDDDDD" w:space="0"/>
            </w:tcBorders>
          </w:tcPr>
          <w:p>
            <w:pPr>
              <w:spacing w:before="60" w:after="60"/>
            </w:pPr>
            <w:r>
              <w:rPr>
                <w:rFonts w:ascii="Calibri" w:hAnsi="Calibri"/>
                <w:b w:val="0"/>
                <w:i w:val="0"/>
                <w:color w:val="2D2D2D"/>
                <w:sz w:val="18"/>
              </w:rPr>
              <w:t>Situation 1</w:t>
            </w:r>
          </w:p>
        </w:tc>
        <w:tc>
          <w:tcPr>
            <w:tcW w:type="dxa" w:w="1701"/>
            <w:shd w:val="clear" w:color="auto" w:fill="FFFFFF"/>
            <w:tcBorders>
              <w:bottom w:val="single" w:sz="4" w:color="DDDDDD" w:space="0"/>
            </w:tcBorders>
          </w:tcPr>
          <w:p>
            <w:pPr>
              <w:spacing w:before="60" w:after="60"/>
            </w:pPr>
            <w:r>
              <w:rPr>
                <w:rFonts w:ascii="Calibri" w:hAnsi="Calibri"/>
                <w:b w:val="0"/>
                <w:i w:val="0"/>
                <w:color w:val="2D2D2D"/>
                <w:sz w:val="18"/>
              </w:rPr>
              <w:t>Maîtrise</w:t>
            </w:r>
          </w:p>
        </w:tc>
      </w:tr>
      <w:tr>
        <w:tc>
          <w:tcPr>
            <w:tcW w:type="dxa" w:w="3685"/>
            <w:shd w:val="clear" w:color="auto" w:fill="F0F4F8"/>
            <w:tcBorders>
              <w:bottom w:val="single" w:sz="4" w:color="DDDDDD" w:space="0"/>
            </w:tcBorders>
          </w:tcPr>
          <w:p>
            <w:pPr>
              <w:spacing w:before="60" w:after="60"/>
            </w:pPr>
            <w:r>
              <w:rPr>
                <w:rFonts w:ascii="Calibri" w:hAnsi="Calibri"/>
                <w:b w:val="0"/>
                <w:i w:val="0"/>
                <w:color w:val="2D2D2D"/>
                <w:sz w:val="18"/>
              </w:rPr>
              <w:t>Analyse 3 offres, grille /100 (technique 60 + financier 40), PV CAO</w:t>
            </w:r>
          </w:p>
        </w:tc>
        <w:tc>
          <w:tcPr>
            <w:tcW w:type="dxa" w:w="2551"/>
            <w:shd w:val="clear" w:color="auto" w:fill="F0F4F8"/>
            <w:tcBorders>
              <w:bottom w:val="single" w:sz="4" w:color="DDDDDD" w:space="0"/>
            </w:tcBorders>
          </w:tcPr>
          <w:p>
            <w:pPr>
              <w:spacing w:before="60" w:after="60"/>
            </w:pPr>
            <w:r>
              <w:rPr>
                <w:rFonts w:ascii="Calibri" w:hAnsi="Calibri"/>
                <w:b w:val="0"/>
                <w:i w:val="0"/>
                <w:color w:val="2D2D2D"/>
                <w:sz w:val="18"/>
              </w:rPr>
              <w:t>Analyser les offres en commission</w:t>
            </w:r>
          </w:p>
        </w:tc>
        <w:tc>
          <w:tcPr>
            <w:tcW w:type="dxa" w:w="1417"/>
            <w:shd w:val="clear" w:color="auto" w:fill="F0F4F8"/>
            <w:tcBorders>
              <w:bottom w:val="single" w:sz="4" w:color="DDDDDD" w:space="0"/>
            </w:tcBorders>
          </w:tcPr>
          <w:p>
            <w:pPr>
              <w:spacing w:before="60" w:after="60"/>
            </w:pPr>
            <w:r>
              <w:rPr>
                <w:rFonts w:ascii="Calibri" w:hAnsi="Calibri"/>
                <w:b w:val="0"/>
                <w:i w:val="0"/>
                <w:color w:val="2D2D2D"/>
                <w:sz w:val="18"/>
              </w:rPr>
              <w:t>Situation 2</w:t>
            </w:r>
          </w:p>
        </w:tc>
        <w:tc>
          <w:tcPr>
            <w:tcW w:type="dxa" w:w="1701"/>
            <w:shd w:val="clear" w:color="auto" w:fill="F0F4F8"/>
            <w:tcBorders>
              <w:bottom w:val="single" w:sz="4" w:color="DDDDDD" w:space="0"/>
            </w:tcBorders>
          </w:tcPr>
          <w:p>
            <w:pPr>
              <w:spacing w:before="60" w:after="60"/>
            </w:pPr>
            <w:r>
              <w:rPr>
                <w:rFonts w:ascii="Calibri" w:hAnsi="Calibri"/>
                <w:b w:val="0"/>
                <w:i w:val="0"/>
                <w:color w:val="2D2D2D"/>
                <w:sz w:val="18"/>
              </w:rPr>
              <w:t>Maîtrise</w:t>
            </w:r>
          </w:p>
        </w:tc>
      </w:tr>
      <w:tr>
        <w:tc>
          <w:tcPr>
            <w:tcW w:type="dxa" w:w="3685"/>
            <w:shd w:val="clear" w:color="auto" w:fill="FFFFFF"/>
            <w:tcBorders>
              <w:bottom w:val="single" w:sz="4" w:color="DDDDDD" w:space="0"/>
            </w:tcBorders>
          </w:tcPr>
          <w:p>
            <w:pPr>
              <w:spacing w:before="60" w:after="60"/>
            </w:pPr>
            <w:r>
              <w:rPr>
                <w:rFonts w:ascii="Calibri" w:hAnsi="Calibri"/>
                <w:b w:val="0"/>
                <w:i w:val="0"/>
                <w:color w:val="2D2D2D"/>
                <w:sz w:val="18"/>
              </w:rPr>
              <w:t>Tableau de bord hebdomadaire 3 indicateurs, compensation inter-postes</w:t>
            </w:r>
          </w:p>
        </w:tc>
        <w:tc>
          <w:tcPr>
            <w:tcW w:type="dxa" w:w="2551"/>
            <w:shd w:val="clear" w:color="auto" w:fill="FFFFFF"/>
            <w:tcBorders>
              <w:bottom w:val="single" w:sz="4" w:color="DDDDDD" w:space="0"/>
            </w:tcBorders>
          </w:tcPr>
          <w:p>
            <w:pPr>
              <w:spacing w:before="60" w:after="60"/>
            </w:pPr>
            <w:r>
              <w:rPr>
                <w:rFonts w:ascii="Calibri" w:hAnsi="Calibri"/>
                <w:b w:val="0"/>
                <w:i w:val="0"/>
                <w:color w:val="2D2D2D"/>
                <w:sz w:val="18"/>
              </w:rPr>
              <w:t>Suivre l'exécution financière</w:t>
            </w:r>
          </w:p>
        </w:tc>
        <w:tc>
          <w:tcPr>
            <w:tcW w:type="dxa" w:w="1417"/>
            <w:shd w:val="clear" w:color="auto" w:fill="FFFFFF"/>
            <w:tcBorders>
              <w:bottom w:val="single" w:sz="4" w:color="DDDDDD" w:space="0"/>
            </w:tcBorders>
          </w:tcPr>
          <w:p>
            <w:pPr>
              <w:spacing w:before="60" w:after="60"/>
            </w:pPr>
            <w:r>
              <w:rPr>
                <w:rFonts w:ascii="Calibri" w:hAnsi="Calibri"/>
                <w:b w:val="0"/>
                <w:i w:val="0"/>
                <w:color w:val="2D2D2D"/>
                <w:sz w:val="18"/>
              </w:rPr>
              <w:t>Situation 3</w:t>
            </w:r>
          </w:p>
        </w:tc>
        <w:tc>
          <w:tcPr>
            <w:tcW w:type="dxa" w:w="1701"/>
            <w:shd w:val="clear" w:color="auto" w:fill="FFFFFF"/>
            <w:tcBorders>
              <w:bottom w:val="single" w:sz="4" w:color="DDDDDD" w:space="0"/>
            </w:tcBorders>
          </w:tcPr>
          <w:p>
            <w:pPr>
              <w:spacing w:before="60" w:after="60"/>
            </w:pPr>
            <w:r>
              <w:rPr>
                <w:rFonts w:ascii="Calibri" w:hAnsi="Calibri"/>
                <w:b w:val="0"/>
                <w:i w:val="0"/>
                <w:color w:val="2D2D2D"/>
                <w:sz w:val="18"/>
              </w:rPr>
              <w:t>Expert</w:t>
            </w:r>
          </w:p>
        </w:tc>
      </w:tr>
      <w:tr>
        <w:tc>
          <w:tcPr>
            <w:tcW w:type="dxa" w:w="3685"/>
            <w:shd w:val="clear" w:color="auto" w:fill="F0F4F8"/>
            <w:tcBorders>
              <w:bottom w:val="single" w:sz="4" w:color="DDDDDD" w:space="0"/>
            </w:tcBorders>
          </w:tcPr>
          <w:p>
            <w:pPr>
              <w:spacing w:before="60" w:after="60"/>
            </w:pPr>
            <w:r>
              <w:rPr>
                <w:rFonts w:ascii="Calibri" w:hAnsi="Calibri"/>
                <w:b w:val="0"/>
                <w:i w:val="0"/>
                <w:color w:val="2D2D2D"/>
                <w:sz w:val="18"/>
              </w:rPr>
              <w:t>Attachements contradictoires /500 ml, contrôle cubatures GPS</w:t>
            </w:r>
          </w:p>
        </w:tc>
        <w:tc>
          <w:tcPr>
            <w:tcW w:type="dxa" w:w="2551"/>
            <w:shd w:val="clear" w:color="auto" w:fill="F0F4F8"/>
            <w:tcBorders>
              <w:bottom w:val="single" w:sz="4" w:color="DDDDDD" w:space="0"/>
            </w:tcBorders>
          </w:tcPr>
          <w:p>
            <w:pPr>
              <w:spacing w:before="60" w:after="60"/>
            </w:pPr>
            <w:r>
              <w:rPr>
                <w:rFonts w:ascii="Calibri" w:hAnsi="Calibri"/>
                <w:b w:val="0"/>
                <w:i w:val="0"/>
                <w:color w:val="2D2D2D"/>
                <w:sz w:val="18"/>
              </w:rPr>
              <w:t>Vérifier les quantités exécutées</w:t>
            </w:r>
          </w:p>
        </w:tc>
        <w:tc>
          <w:tcPr>
            <w:tcW w:type="dxa" w:w="1417"/>
            <w:shd w:val="clear" w:color="auto" w:fill="F0F4F8"/>
            <w:tcBorders>
              <w:bottom w:val="single" w:sz="4" w:color="DDDDDD" w:space="0"/>
            </w:tcBorders>
          </w:tcPr>
          <w:p>
            <w:pPr>
              <w:spacing w:before="60" w:after="60"/>
            </w:pPr>
            <w:r>
              <w:rPr>
                <w:rFonts w:ascii="Calibri" w:hAnsi="Calibri"/>
                <w:b w:val="0"/>
                <w:i w:val="0"/>
                <w:color w:val="2D2D2D"/>
                <w:sz w:val="18"/>
              </w:rPr>
              <w:t>Situation 5</w:t>
            </w:r>
          </w:p>
        </w:tc>
        <w:tc>
          <w:tcPr>
            <w:tcW w:type="dxa" w:w="1701"/>
            <w:shd w:val="clear" w:color="auto" w:fill="F0F4F8"/>
            <w:tcBorders>
              <w:bottom w:val="single" w:sz="4" w:color="DDDDDD" w:space="0"/>
            </w:tcBorders>
          </w:tcPr>
          <w:p>
            <w:pPr>
              <w:spacing w:before="60" w:after="60"/>
            </w:pPr>
            <w:r>
              <w:rPr>
                <w:rFonts w:ascii="Calibri" w:hAnsi="Calibri"/>
                <w:b w:val="0"/>
                <w:i w:val="0"/>
                <w:color w:val="2D2D2D"/>
                <w:sz w:val="18"/>
              </w:rPr>
              <w:t>Expert</w:t>
            </w:r>
          </w:p>
        </w:tc>
      </w:tr>
      <w:tr>
        <w:tc>
          <w:tcPr>
            <w:tcW w:type="dxa" w:w="3685"/>
            <w:shd w:val="clear" w:color="auto" w:fill="FFFFFF"/>
            <w:tcBorders>
              <w:bottom w:val="single" w:sz="4" w:color="DDDDDD" w:space="0"/>
            </w:tcBorders>
          </w:tcPr>
          <w:p>
            <w:pPr>
              <w:spacing w:before="60" w:after="60"/>
            </w:pPr>
            <w:r>
              <w:rPr>
                <w:rFonts w:ascii="Calibri" w:hAnsi="Calibri"/>
                <w:b w:val="0"/>
                <w:i w:val="0"/>
                <w:color w:val="2D2D2D"/>
                <w:sz w:val="18"/>
              </w:rPr>
              <w:t>CR consolidé sous 24h, OS d'arrêt/reprise, notes factuelles</w:t>
            </w:r>
          </w:p>
        </w:tc>
        <w:tc>
          <w:tcPr>
            <w:tcW w:type="dxa" w:w="2551"/>
            <w:shd w:val="clear" w:color="auto" w:fill="FFFFFF"/>
            <w:tcBorders>
              <w:bottom w:val="single" w:sz="4" w:color="DDDDDD" w:space="0"/>
            </w:tcBorders>
          </w:tcPr>
          <w:p>
            <w:pPr>
              <w:spacing w:before="60" w:after="60"/>
            </w:pPr>
            <w:r>
              <w:rPr>
                <w:rFonts w:ascii="Calibri" w:hAnsi="Calibri"/>
                <w:b w:val="0"/>
                <w:i w:val="0"/>
                <w:color w:val="2D2D2D"/>
                <w:sz w:val="18"/>
              </w:rPr>
              <w:t>Communiquer par écrit</w:t>
            </w:r>
          </w:p>
        </w:tc>
        <w:tc>
          <w:tcPr>
            <w:tcW w:type="dxa" w:w="1417"/>
            <w:shd w:val="clear" w:color="auto" w:fill="FFFFFF"/>
            <w:tcBorders>
              <w:bottom w:val="single" w:sz="4" w:color="DDDDDD" w:space="0"/>
            </w:tcBorders>
          </w:tcPr>
          <w:p>
            <w:pPr>
              <w:spacing w:before="60" w:after="60"/>
            </w:pPr>
            <w:r>
              <w:rPr>
                <w:rFonts w:ascii="Calibri" w:hAnsi="Calibri"/>
                <w:b w:val="0"/>
                <w:i w:val="0"/>
                <w:color w:val="2D2D2D"/>
                <w:sz w:val="18"/>
              </w:rPr>
              <w:t>Situation 4</w:t>
            </w:r>
          </w:p>
        </w:tc>
        <w:tc>
          <w:tcPr>
            <w:tcW w:type="dxa" w:w="1701"/>
            <w:shd w:val="clear" w:color="auto" w:fill="FFFFFF"/>
            <w:tcBorders>
              <w:bottom w:val="single" w:sz="4" w:color="DDDDDD" w:space="0"/>
            </w:tcBorders>
          </w:tcPr>
          <w:p>
            <w:pPr>
              <w:spacing w:before="60" w:after="60"/>
            </w:pPr>
            <w:r>
              <w:rPr>
                <w:rFonts w:ascii="Calibri" w:hAnsi="Calibri"/>
                <w:b w:val="0"/>
                <w:i w:val="0"/>
                <w:color w:val="2D2D2D"/>
                <w:sz w:val="18"/>
              </w:rPr>
              <w:t>Maîtrise</w:t>
            </w:r>
          </w:p>
        </w:tc>
      </w:tr>
      <w:tr>
        <w:tc>
          <w:tcPr>
            <w:tcW w:type="dxa" w:w="3685"/>
            <w:shd w:val="clear" w:color="auto" w:fill="F0F4F8"/>
            <w:tcBorders>
              <w:bottom w:val="single" w:sz="4" w:color="DDDDDD" w:space="0"/>
            </w:tcBorders>
          </w:tcPr>
          <w:p>
            <w:pPr>
              <w:spacing w:before="60" w:after="60"/>
            </w:pPr>
            <w:r>
              <w:rPr>
                <w:rFonts w:ascii="Calibri" w:hAnsi="Calibri"/>
                <w:b w:val="0"/>
                <w:i w:val="0"/>
                <w:color w:val="2D2D2D"/>
                <w:sz w:val="18"/>
              </w:rPr>
              <w:t>Réunions chantier, point quotidien 8h, présentation CAO</w:t>
            </w:r>
          </w:p>
        </w:tc>
        <w:tc>
          <w:tcPr>
            <w:tcW w:type="dxa" w:w="2551"/>
            <w:shd w:val="clear" w:color="auto" w:fill="F0F4F8"/>
            <w:tcBorders>
              <w:bottom w:val="single" w:sz="4" w:color="DDDDDD" w:space="0"/>
            </w:tcBorders>
          </w:tcPr>
          <w:p>
            <w:pPr>
              <w:spacing w:before="60" w:after="60"/>
            </w:pPr>
            <w:r>
              <w:rPr>
                <w:rFonts w:ascii="Calibri" w:hAnsi="Calibri"/>
                <w:b w:val="0"/>
                <w:i w:val="0"/>
                <w:color w:val="2D2D2D"/>
                <w:sz w:val="18"/>
              </w:rPr>
              <w:t>Communiquer oralement</w:t>
            </w:r>
          </w:p>
        </w:tc>
        <w:tc>
          <w:tcPr>
            <w:tcW w:type="dxa" w:w="1417"/>
            <w:shd w:val="clear" w:color="auto" w:fill="F0F4F8"/>
            <w:tcBorders>
              <w:bottom w:val="single" w:sz="4" w:color="DDDDDD" w:space="0"/>
            </w:tcBorders>
          </w:tcPr>
          <w:p>
            <w:pPr>
              <w:spacing w:before="60" w:after="60"/>
            </w:pPr>
            <w:r>
              <w:rPr>
                <w:rFonts w:ascii="Calibri" w:hAnsi="Calibri"/>
                <w:b w:val="0"/>
                <w:i w:val="0"/>
                <w:color w:val="2D2D2D"/>
                <w:sz w:val="18"/>
              </w:rPr>
              <w:t>Situations 2, 4</w:t>
            </w:r>
          </w:p>
        </w:tc>
        <w:tc>
          <w:tcPr>
            <w:tcW w:type="dxa" w:w="1701"/>
            <w:shd w:val="clear" w:color="auto" w:fill="F0F4F8"/>
            <w:tcBorders>
              <w:bottom w:val="single" w:sz="4" w:color="DDDDDD" w:space="0"/>
            </w:tcBorders>
          </w:tcPr>
          <w:p>
            <w:pPr>
              <w:spacing w:before="60" w:after="60"/>
            </w:pPr>
            <w:r>
              <w:rPr>
                <w:rFonts w:ascii="Calibri" w:hAnsi="Calibri"/>
                <w:b w:val="0"/>
                <w:i w:val="0"/>
                <w:color w:val="2D2D2D"/>
                <w:sz w:val="18"/>
              </w:rPr>
              <w:t>Maîtrise</w:t>
            </w:r>
          </w:p>
        </w:tc>
      </w:tr>
      <w:tr>
        <w:tc>
          <w:tcPr>
            <w:tcW w:type="dxa" w:w="3685"/>
            <w:shd w:val="clear" w:color="auto" w:fill="FFFFFF"/>
            <w:tcBorders>
              <w:bottom w:val="single" w:sz="4" w:color="DDDDDD" w:space="0"/>
            </w:tcBorders>
          </w:tcPr>
          <w:p>
            <w:pPr>
              <w:spacing w:before="60" w:after="60"/>
            </w:pPr>
            <w:r>
              <w:rPr>
                <w:rFonts w:ascii="Calibri" w:hAnsi="Calibri"/>
                <w:b w:val="0"/>
                <w:i w:val="0"/>
                <w:color w:val="2D2D2D"/>
                <w:sz w:val="18"/>
              </w:rPr>
              <w:t>Rédaction CPS, RC, BPDE, vérification cohérence pièces/plans</w:t>
            </w:r>
          </w:p>
        </w:tc>
        <w:tc>
          <w:tcPr>
            <w:tcW w:type="dxa" w:w="2551"/>
            <w:shd w:val="clear" w:color="auto" w:fill="FFFFFF"/>
            <w:tcBorders>
              <w:bottom w:val="single" w:sz="4" w:color="DDDDDD" w:space="0"/>
            </w:tcBorders>
          </w:tcPr>
          <w:p>
            <w:pPr>
              <w:spacing w:before="60" w:after="60"/>
            </w:pPr>
            <w:r>
              <w:rPr>
                <w:rFonts w:ascii="Calibri" w:hAnsi="Calibri"/>
                <w:b w:val="0"/>
                <w:i w:val="0"/>
                <w:color w:val="2D2D2D"/>
                <w:sz w:val="18"/>
              </w:rPr>
              <w:t>Rédiger pièces de marchés publics</w:t>
            </w:r>
          </w:p>
        </w:tc>
        <w:tc>
          <w:tcPr>
            <w:tcW w:type="dxa" w:w="1417"/>
            <w:shd w:val="clear" w:color="auto" w:fill="FFFFFF"/>
            <w:tcBorders>
              <w:bottom w:val="single" w:sz="4" w:color="DDDDDD" w:space="0"/>
            </w:tcBorders>
          </w:tcPr>
          <w:p>
            <w:pPr>
              <w:spacing w:before="60" w:after="60"/>
            </w:pPr>
            <w:r>
              <w:rPr>
                <w:rFonts w:ascii="Calibri" w:hAnsi="Calibri"/>
                <w:b w:val="0"/>
                <w:i w:val="0"/>
                <w:color w:val="2D2D2D"/>
                <w:sz w:val="18"/>
              </w:rPr>
              <w:t>Situations 1-4</w:t>
            </w:r>
          </w:p>
        </w:tc>
        <w:tc>
          <w:tcPr>
            <w:tcW w:type="dxa" w:w="1701"/>
            <w:shd w:val="clear" w:color="auto" w:fill="FFFFFF"/>
            <w:tcBorders>
              <w:bottom w:val="single" w:sz="4" w:color="DDDDDD" w:space="0"/>
            </w:tcBorders>
          </w:tcPr>
          <w:p>
            <w:pPr>
              <w:spacing w:before="60" w:after="60"/>
            </w:pPr>
            <w:r>
              <w:rPr>
                <w:rFonts w:ascii="Calibri" w:hAnsi="Calibri"/>
                <w:b w:val="0"/>
                <w:i w:val="0"/>
                <w:color w:val="2D2D2D"/>
                <w:sz w:val="18"/>
              </w:rPr>
              <w:t>Maîtrise</w:t>
            </w:r>
          </w:p>
        </w:tc>
      </w:tr>
      <w:tr>
        <w:tc>
          <w:tcPr>
            <w:tcW w:type="dxa" w:w="3685"/>
            <w:shd w:val="clear" w:color="auto" w:fill="F0F4F8"/>
            <w:tcBorders>
              <w:bottom w:val="single" w:sz="4" w:color="DDDDDD" w:space="0"/>
            </w:tcBorders>
          </w:tcPr>
          <w:p>
            <w:pPr>
              <w:spacing w:before="60" w:after="60"/>
            </w:pPr>
            <w:r>
              <w:rPr>
                <w:rFonts w:ascii="Calibri" w:hAnsi="Calibri"/>
                <w:b w:val="0"/>
                <w:i w:val="0"/>
                <w:color w:val="2D2D2D"/>
                <w:sz w:val="18"/>
              </w:rPr>
              <w:t>Convention BIM LOD 300, export IFC 2x3, extraction 78 postes quantités</w:t>
            </w:r>
          </w:p>
        </w:tc>
        <w:tc>
          <w:tcPr>
            <w:tcW w:type="dxa" w:w="2551"/>
            <w:shd w:val="clear" w:color="auto" w:fill="F0F4F8"/>
            <w:tcBorders>
              <w:bottom w:val="single" w:sz="4" w:color="DDDDDD" w:space="0"/>
            </w:tcBorders>
          </w:tcPr>
          <w:p>
            <w:pPr>
              <w:spacing w:before="60" w:after="60"/>
            </w:pPr>
            <w:r>
              <w:rPr>
                <w:rFonts w:ascii="Calibri" w:hAnsi="Calibri"/>
                <w:b w:val="0"/>
                <w:i w:val="0"/>
                <w:color w:val="2D2D2D"/>
                <w:sz w:val="18"/>
              </w:rPr>
              <w:t>Collaborer en BIM (Open BIM)</w:t>
            </w:r>
          </w:p>
        </w:tc>
        <w:tc>
          <w:tcPr>
            <w:tcW w:type="dxa" w:w="1417"/>
            <w:shd w:val="clear" w:color="auto" w:fill="F0F4F8"/>
            <w:tcBorders>
              <w:bottom w:val="single" w:sz="4" w:color="DDDDDD" w:space="0"/>
            </w:tcBorders>
          </w:tcPr>
          <w:p>
            <w:pPr>
              <w:spacing w:before="60" w:after="60"/>
            </w:pPr>
            <w:r>
              <w:rPr>
                <w:rFonts w:ascii="Calibri" w:hAnsi="Calibri"/>
                <w:b w:val="0"/>
                <w:i w:val="0"/>
                <w:color w:val="2D2D2D"/>
                <w:sz w:val="18"/>
              </w:rPr>
              <w:t>Protocole BIM p.26</w:t>
            </w:r>
          </w:p>
        </w:tc>
        <w:tc>
          <w:tcPr>
            <w:tcW w:type="dxa" w:w="1701"/>
            <w:shd w:val="clear" w:color="auto" w:fill="F0F4F8"/>
            <w:tcBorders>
              <w:bottom w:val="single" w:sz="4" w:color="DDDDDD" w:space="0"/>
            </w:tcBorders>
          </w:tcPr>
          <w:p>
            <w:pPr>
              <w:spacing w:before="60" w:after="60"/>
            </w:pPr>
            <w:r>
              <w:rPr>
                <w:rFonts w:ascii="Calibri" w:hAnsi="Calibri"/>
                <w:b w:val="0"/>
                <w:i w:val="0"/>
                <w:color w:val="2D2D2D"/>
                <w:sz w:val="18"/>
              </w:rPr>
              <w:t>Maîtrise</w:t>
            </w:r>
          </w:p>
        </w:tc>
      </w:tr>
    </w:tbl>
    <w:p>
      <w:pPr>
        <w:spacing w:after="160"/>
      </w:pPr>
    </w:p>
    <w:p>
      <w:pPr>
        <w:spacing w:before="360" w:after="120"/>
      </w:pPr>
      <w:r>
        <w:rPr>
          <w:rFonts w:ascii="Calibri" w:hAnsi="Calibri"/>
          <w:b/>
          <w:i w:val="0"/>
          <w:color w:val="2E86C1"/>
          <w:sz w:val="26"/>
        </w:rPr>
        <w:t>5.2 Analyse comparative Maroc / France</w:t>
      </w:r>
    </w:p>
    <w:p>
      <w:pPr>
        <w:spacing w:before="0" w:after="120"/>
        <w:jc w:val="both"/>
      </w:pPr>
      <w:r>
        <w:rPr>
          <w:rFonts w:ascii="Calibri" w:hAnsi="Calibri"/>
          <w:b w:val="0"/>
          <w:i w:val="0"/>
          <w:color w:val="2D2D2D"/>
          <w:sz w:val="21"/>
        </w:rPr>
        <w:t>Les deux systèmes partagent les mêmes principes fondamentaux : transparence, égalité de traitement des candidats, mise en concurrence et choix de l'offre économiquement la plus avantageuse. Les documents diffèrent (CPS/RC/BPDE au Maroc vs CCAP/CCTP/BPU-DQE en France), mais la logique de protection du maître d'ouvrage et de l'entreprise est identique. Cette double expérience développe une capacité d'adaptation précieuse dans un secteur BTP de plus en plus international — et change profondément la façon d'estimer, de rédiger les marchés et d'analyser les offres des entreprises.</w:t>
      </w:r>
    </w:p>
    <w:tbl>
      <w:tblPr>
        <w:tblW w:type="auto" w:w="0"/>
        <w:tblLook w:firstColumn="1" w:firstRow="1" w:lastColumn="0" w:lastRow="0" w:noHBand="0" w:noVBand="1" w:val="04A0"/>
        <w:tblBorders>
          <w:top w:val="none"/>
          <w:left w:val="none"/>
          <w:bottom w:val="none"/>
          <w:right w:val="none"/>
          <w:insideH w:val="none"/>
          <w:insideV w:val="none"/>
        </w:tblBorders>
      </w:tblPr>
      <w:tblGrid>
        <w:gridCol w:w="3118"/>
        <w:gridCol w:w="3118"/>
        <w:gridCol w:w="3118"/>
      </w:tblGrid>
      <w:tr>
        <w:tc>
          <w:tcPr>
            <w:tcW w:type="dxa" w:w="2268"/>
            <w:shd w:val="clear" w:color="auto" w:fill="1E3A5F"/>
          </w:tcPr>
          <w:p>
            <w:pPr>
              <w:spacing w:before="80" w:after="80"/>
              <w:jc w:val="center"/>
            </w:pPr>
            <w:r>
              <w:rPr>
                <w:rFonts w:ascii="Calibri" w:hAnsi="Calibri"/>
                <w:b/>
                <w:i w:val="0"/>
                <w:color w:val="FFFFFF"/>
                <w:sz w:val="17"/>
              </w:rPr>
              <w:t>Aspect</w:t>
            </w:r>
          </w:p>
        </w:tc>
        <w:tc>
          <w:tcPr>
            <w:tcW w:type="dxa" w:w="3685"/>
            <w:shd w:val="clear" w:color="auto" w:fill="1E3A5F"/>
          </w:tcPr>
          <w:p>
            <w:pPr>
              <w:spacing w:before="80" w:after="80"/>
              <w:jc w:val="center"/>
            </w:pPr>
            <w:r>
              <w:rPr>
                <w:rFonts w:ascii="Calibri" w:hAnsi="Calibri"/>
                <w:b/>
                <w:i w:val="0"/>
                <w:color w:val="FFFFFF"/>
                <w:sz w:val="17"/>
              </w:rPr>
              <w:t>Maroc</w:t>
            </w:r>
          </w:p>
        </w:tc>
        <w:tc>
          <w:tcPr>
            <w:tcW w:type="dxa" w:w="3402"/>
            <w:shd w:val="clear" w:color="auto" w:fill="1E3A5F"/>
          </w:tcPr>
          <w:p>
            <w:pPr>
              <w:spacing w:before="80" w:after="80"/>
              <w:jc w:val="center"/>
            </w:pPr>
            <w:r>
              <w:rPr>
                <w:rFonts w:ascii="Calibri" w:hAnsi="Calibri"/>
                <w:b/>
                <w:i w:val="0"/>
                <w:color w:val="FFFFFF"/>
                <w:sz w:val="17"/>
              </w:rPr>
              <w:t>France</w:t>
            </w:r>
          </w:p>
        </w:tc>
      </w:tr>
      <w:tr>
        <w:tc>
          <w:tcPr>
            <w:tcW w:type="dxa" w:w="2268"/>
            <w:shd w:val="clear" w:color="auto" w:fill="F0F4F8"/>
            <w:tcBorders>
              <w:bottom w:val="single" w:sz="4" w:color="DDDDDD" w:space="0"/>
            </w:tcBorders>
          </w:tcPr>
          <w:p>
            <w:pPr>
              <w:spacing w:before="60" w:after="60"/>
            </w:pPr>
            <w:r>
              <w:rPr>
                <w:rFonts w:ascii="Calibri" w:hAnsi="Calibri"/>
                <w:b w:val="0"/>
                <w:i w:val="0"/>
                <w:color w:val="2D2D2D"/>
                <w:sz w:val="18"/>
              </w:rPr>
              <w:t>Réglementation</w:t>
            </w:r>
          </w:p>
        </w:tc>
        <w:tc>
          <w:tcPr>
            <w:tcW w:type="dxa" w:w="3685"/>
            <w:shd w:val="clear" w:color="auto" w:fill="F0F4F8"/>
            <w:tcBorders>
              <w:bottom w:val="single" w:sz="4" w:color="DDDDDD" w:space="0"/>
            </w:tcBorders>
          </w:tcPr>
          <w:p>
            <w:pPr>
              <w:spacing w:before="60" w:after="60"/>
            </w:pPr>
            <w:r>
              <w:rPr>
                <w:rFonts w:ascii="Calibri" w:hAnsi="Calibri"/>
                <w:b w:val="0"/>
                <w:i w:val="0"/>
                <w:color w:val="2D2D2D"/>
                <w:sz w:val="18"/>
              </w:rPr>
              <w:t>Décret n°2-12-349 (20/03/2013)</w:t>
            </w:r>
          </w:p>
        </w:tc>
        <w:tc>
          <w:tcPr>
            <w:tcW w:type="dxa" w:w="3402"/>
            <w:shd w:val="clear" w:color="auto" w:fill="F0F4F8"/>
            <w:tcBorders>
              <w:bottom w:val="single" w:sz="4" w:color="DDDDDD" w:space="0"/>
            </w:tcBorders>
          </w:tcPr>
          <w:p>
            <w:pPr>
              <w:spacing w:before="60" w:after="60"/>
            </w:pPr>
            <w:r>
              <w:rPr>
                <w:rFonts w:ascii="Calibri" w:hAnsi="Calibri"/>
                <w:b w:val="0"/>
                <w:i w:val="0"/>
                <w:color w:val="2D2D2D"/>
                <w:sz w:val="18"/>
              </w:rPr>
              <w:t>Code de la commande publique</w:t>
            </w:r>
          </w:p>
        </w:tc>
      </w:tr>
      <w:tr>
        <w:tc>
          <w:tcPr>
            <w:tcW w:type="dxa" w:w="2268"/>
            <w:shd w:val="clear" w:color="auto" w:fill="FFFFFF"/>
            <w:tcBorders>
              <w:bottom w:val="single" w:sz="4" w:color="DDDDDD" w:space="0"/>
            </w:tcBorders>
          </w:tcPr>
          <w:p>
            <w:pPr>
              <w:spacing w:before="60" w:after="60"/>
            </w:pPr>
            <w:r>
              <w:rPr>
                <w:rFonts w:ascii="Calibri" w:hAnsi="Calibri"/>
                <w:b w:val="0"/>
                <w:i w:val="0"/>
                <w:color w:val="2D2D2D"/>
                <w:sz w:val="18"/>
              </w:rPr>
              <w:t>Seuils procédure</w:t>
            </w:r>
          </w:p>
        </w:tc>
        <w:tc>
          <w:tcPr>
            <w:tcW w:type="dxa" w:w="3685"/>
            <w:shd w:val="clear" w:color="auto" w:fill="FFFFFF"/>
            <w:tcBorders>
              <w:bottom w:val="single" w:sz="4" w:color="DDDDDD" w:space="0"/>
            </w:tcBorders>
          </w:tcPr>
          <w:p>
            <w:pPr>
              <w:spacing w:before="60" w:after="60"/>
            </w:pPr>
            <w:r>
              <w:rPr>
                <w:rFonts w:ascii="Calibri" w:hAnsi="Calibri"/>
                <w:b w:val="0"/>
                <w:i w:val="0"/>
                <w:color w:val="2D2D2D"/>
                <w:sz w:val="18"/>
              </w:rPr>
              <w:t>AO ouvert &gt; 500 000 DH</w:t>
            </w:r>
          </w:p>
        </w:tc>
        <w:tc>
          <w:tcPr>
            <w:tcW w:type="dxa" w:w="3402"/>
            <w:shd w:val="clear" w:color="auto" w:fill="FFFFFF"/>
            <w:tcBorders>
              <w:bottom w:val="single" w:sz="4" w:color="DDDDDD" w:space="0"/>
            </w:tcBorders>
          </w:tcPr>
          <w:p>
            <w:pPr>
              <w:spacing w:before="60" w:after="60"/>
            </w:pPr>
            <w:r>
              <w:rPr>
                <w:rFonts w:ascii="Calibri" w:hAnsi="Calibri"/>
                <w:b w:val="0"/>
                <w:i w:val="0"/>
                <w:color w:val="2D2D2D"/>
                <w:sz w:val="18"/>
              </w:rPr>
              <w:t>AO &gt; seuils européens</w:t>
            </w:r>
          </w:p>
        </w:tc>
      </w:tr>
      <w:tr>
        <w:tc>
          <w:tcPr>
            <w:tcW w:type="dxa" w:w="2268"/>
            <w:shd w:val="clear" w:color="auto" w:fill="F0F4F8"/>
            <w:tcBorders>
              <w:bottom w:val="single" w:sz="4" w:color="DDDDDD" w:space="0"/>
            </w:tcBorders>
          </w:tcPr>
          <w:p>
            <w:pPr>
              <w:spacing w:before="60" w:after="60"/>
            </w:pPr>
            <w:r>
              <w:rPr>
                <w:rFonts w:ascii="Calibri" w:hAnsi="Calibri"/>
                <w:b w:val="0"/>
                <w:i w:val="0"/>
                <w:color w:val="2D2D2D"/>
                <w:sz w:val="18"/>
              </w:rPr>
              <w:t>Pièces marché</w:t>
            </w:r>
          </w:p>
        </w:tc>
        <w:tc>
          <w:tcPr>
            <w:tcW w:type="dxa" w:w="3685"/>
            <w:shd w:val="clear" w:color="auto" w:fill="F0F4F8"/>
            <w:tcBorders>
              <w:bottom w:val="single" w:sz="4" w:color="DDDDDD" w:space="0"/>
            </w:tcBorders>
          </w:tcPr>
          <w:p>
            <w:pPr>
              <w:spacing w:before="60" w:after="60"/>
            </w:pPr>
            <w:r>
              <w:rPr>
                <w:rFonts w:ascii="Calibri" w:hAnsi="Calibri"/>
                <w:b w:val="0"/>
                <w:i w:val="0"/>
                <w:color w:val="2D2D2D"/>
                <w:sz w:val="18"/>
              </w:rPr>
              <w:t>CPS + RC + BPDE</w:t>
            </w:r>
          </w:p>
        </w:tc>
        <w:tc>
          <w:tcPr>
            <w:tcW w:type="dxa" w:w="3402"/>
            <w:shd w:val="clear" w:color="auto" w:fill="F0F4F8"/>
            <w:tcBorders>
              <w:bottom w:val="single" w:sz="4" w:color="DDDDDD" w:space="0"/>
            </w:tcBorders>
          </w:tcPr>
          <w:p>
            <w:pPr>
              <w:spacing w:before="60" w:after="60"/>
            </w:pPr>
            <w:r>
              <w:rPr>
                <w:rFonts w:ascii="Calibri" w:hAnsi="Calibri"/>
                <w:b w:val="0"/>
                <w:i w:val="0"/>
                <w:color w:val="2D2D2D"/>
                <w:sz w:val="18"/>
              </w:rPr>
              <w:t>CCAP + CCTP + BPU/DQE ou DPGF</w:t>
            </w:r>
          </w:p>
        </w:tc>
      </w:tr>
      <w:tr>
        <w:tc>
          <w:tcPr>
            <w:tcW w:type="dxa" w:w="2268"/>
            <w:shd w:val="clear" w:color="auto" w:fill="FFFFFF"/>
            <w:tcBorders>
              <w:bottom w:val="single" w:sz="4" w:color="DDDDDD" w:space="0"/>
            </w:tcBorders>
          </w:tcPr>
          <w:p>
            <w:pPr>
              <w:spacing w:before="60" w:after="60"/>
            </w:pPr>
            <w:r>
              <w:rPr>
                <w:rFonts w:ascii="Calibri" w:hAnsi="Calibri"/>
                <w:b w:val="0"/>
                <w:i w:val="0"/>
                <w:color w:val="2D2D2D"/>
                <w:sz w:val="18"/>
              </w:rPr>
              <w:t>Estimation</w:t>
            </w:r>
          </w:p>
        </w:tc>
        <w:tc>
          <w:tcPr>
            <w:tcW w:type="dxa" w:w="3685"/>
            <w:shd w:val="clear" w:color="auto" w:fill="FFFFFF"/>
            <w:tcBorders>
              <w:bottom w:val="single" w:sz="4" w:color="DDDDDD" w:space="0"/>
            </w:tcBorders>
          </w:tcPr>
          <w:p>
            <w:pPr>
              <w:spacing w:before="60" w:after="60"/>
            </w:pPr>
            <w:r>
              <w:rPr>
                <w:rFonts w:ascii="Calibri" w:hAnsi="Calibri"/>
                <w:b w:val="0"/>
                <w:i w:val="0"/>
                <w:color w:val="2D2D2D"/>
                <w:sz w:val="18"/>
              </w:rPr>
              <w:t>Estimation confidentielle obligatoire</w:t>
            </w:r>
          </w:p>
        </w:tc>
        <w:tc>
          <w:tcPr>
            <w:tcW w:type="dxa" w:w="3402"/>
            <w:shd w:val="clear" w:color="auto" w:fill="FFFFFF"/>
            <w:tcBorders>
              <w:bottom w:val="single" w:sz="4" w:color="DDDDDD" w:space="0"/>
            </w:tcBorders>
          </w:tcPr>
          <w:p>
            <w:pPr>
              <w:spacing w:before="60" w:after="60"/>
            </w:pPr>
            <w:r>
              <w:rPr>
                <w:rFonts w:ascii="Calibri" w:hAnsi="Calibri"/>
                <w:b w:val="0"/>
                <w:i w:val="0"/>
                <w:color w:val="2D2D2D"/>
                <w:sz w:val="18"/>
              </w:rPr>
              <w:t>Estimation du maître d'ouvrage</w:t>
            </w:r>
          </w:p>
        </w:tc>
      </w:tr>
      <w:tr>
        <w:tc>
          <w:tcPr>
            <w:tcW w:type="dxa" w:w="2268"/>
            <w:shd w:val="clear" w:color="auto" w:fill="F0F4F8"/>
            <w:tcBorders>
              <w:bottom w:val="single" w:sz="4" w:color="DDDDDD" w:space="0"/>
            </w:tcBorders>
          </w:tcPr>
          <w:p>
            <w:pPr>
              <w:spacing w:before="60" w:after="60"/>
            </w:pPr>
            <w:r>
              <w:rPr>
                <w:rFonts w:ascii="Calibri" w:hAnsi="Calibri"/>
                <w:b w:val="0"/>
                <w:i w:val="0"/>
                <w:color w:val="2D2D2D"/>
                <w:sz w:val="18"/>
              </w:rPr>
              <w:t>Normes construction</w:t>
            </w:r>
          </w:p>
        </w:tc>
        <w:tc>
          <w:tcPr>
            <w:tcW w:type="dxa" w:w="3685"/>
            <w:shd w:val="clear" w:color="auto" w:fill="F0F4F8"/>
            <w:tcBorders>
              <w:bottom w:val="single" w:sz="4" w:color="DDDDDD" w:space="0"/>
            </w:tcBorders>
          </w:tcPr>
          <w:p>
            <w:pPr>
              <w:spacing w:before="60" w:after="60"/>
            </w:pPr>
            <w:r>
              <w:rPr>
                <w:rFonts w:ascii="Calibri" w:hAnsi="Calibri"/>
                <w:b w:val="0"/>
                <w:i w:val="0"/>
                <w:color w:val="2D2D2D"/>
                <w:sz w:val="18"/>
              </w:rPr>
              <w:t>Normes marocaines, RPS 2000 (sismique)</w:t>
            </w:r>
          </w:p>
        </w:tc>
        <w:tc>
          <w:tcPr>
            <w:tcW w:type="dxa" w:w="3402"/>
            <w:shd w:val="clear" w:color="auto" w:fill="F0F4F8"/>
            <w:tcBorders>
              <w:bottom w:val="single" w:sz="4" w:color="DDDDDD" w:space="0"/>
            </w:tcBorders>
          </w:tcPr>
          <w:p>
            <w:pPr>
              <w:spacing w:before="60" w:after="60"/>
            </w:pPr>
            <w:r>
              <w:rPr>
                <w:rFonts w:ascii="Calibri" w:hAnsi="Calibri"/>
                <w:b w:val="0"/>
                <w:i w:val="0"/>
                <w:color w:val="2D2D2D"/>
                <w:sz w:val="18"/>
              </w:rPr>
              <w:t>DTU, Eurocodes, RE2020</w:t>
            </w:r>
          </w:p>
        </w:tc>
      </w:tr>
      <w:tr>
        <w:tc>
          <w:tcPr>
            <w:tcW w:type="dxa" w:w="2268"/>
            <w:shd w:val="clear" w:color="auto" w:fill="FFFFFF"/>
            <w:tcBorders>
              <w:bottom w:val="single" w:sz="4" w:color="DDDDDD" w:space="0"/>
            </w:tcBorders>
          </w:tcPr>
          <w:p>
            <w:pPr>
              <w:spacing w:before="60" w:after="60"/>
            </w:pPr>
            <w:r>
              <w:rPr>
                <w:rFonts w:ascii="Calibri" w:hAnsi="Calibri"/>
                <w:b w:val="0"/>
                <w:i w:val="0"/>
                <w:color w:val="2D2D2D"/>
                <w:sz w:val="18"/>
              </w:rPr>
              <w:t>Suivi financier</w:t>
            </w:r>
          </w:p>
        </w:tc>
        <w:tc>
          <w:tcPr>
            <w:tcW w:type="dxa" w:w="3685"/>
            <w:shd w:val="clear" w:color="auto" w:fill="FFFFFF"/>
            <w:tcBorders>
              <w:bottom w:val="single" w:sz="4" w:color="DDDDDD" w:space="0"/>
            </w:tcBorders>
          </w:tcPr>
          <w:p>
            <w:pPr>
              <w:spacing w:before="60" w:after="60"/>
            </w:pPr>
            <w:r>
              <w:rPr>
                <w:rFonts w:ascii="Calibri" w:hAnsi="Calibri"/>
                <w:b w:val="0"/>
                <w:i w:val="0"/>
                <w:color w:val="2D2D2D"/>
                <w:sz w:val="18"/>
              </w:rPr>
              <w:t>Attachements contradictoires, décomptes</w:t>
            </w:r>
          </w:p>
        </w:tc>
        <w:tc>
          <w:tcPr>
            <w:tcW w:type="dxa" w:w="3402"/>
            <w:shd w:val="clear" w:color="auto" w:fill="FFFFFF"/>
            <w:tcBorders>
              <w:bottom w:val="single" w:sz="4" w:color="DDDDDD" w:space="0"/>
            </w:tcBorders>
          </w:tcPr>
          <w:p>
            <w:pPr>
              <w:spacing w:before="60" w:after="60"/>
            </w:pPr>
            <w:r>
              <w:rPr>
                <w:rFonts w:ascii="Calibri" w:hAnsi="Calibri"/>
                <w:b w:val="0"/>
                <w:i w:val="0"/>
                <w:color w:val="2D2D2D"/>
                <w:sz w:val="18"/>
              </w:rPr>
              <w:t>Situations mensuelles</w:t>
            </w:r>
          </w:p>
        </w:tc>
      </w:tr>
      <w:tr>
        <w:tc>
          <w:tcPr>
            <w:tcW w:type="dxa" w:w="2268"/>
            <w:shd w:val="clear" w:color="auto" w:fill="F0F4F8"/>
            <w:tcBorders>
              <w:bottom w:val="single" w:sz="4" w:color="DDDDDD" w:space="0"/>
            </w:tcBorders>
          </w:tcPr>
          <w:p>
            <w:pPr>
              <w:spacing w:before="60" w:after="60"/>
            </w:pPr>
            <w:r>
              <w:rPr>
                <w:rFonts w:ascii="Calibri" w:hAnsi="Calibri"/>
                <w:b w:val="0"/>
                <w:i w:val="0"/>
                <w:color w:val="2D2D2D"/>
                <w:sz w:val="18"/>
              </w:rPr>
              <w:t>Révision des prix</w:t>
            </w:r>
          </w:p>
        </w:tc>
        <w:tc>
          <w:tcPr>
            <w:tcW w:type="dxa" w:w="3685"/>
            <w:shd w:val="clear" w:color="auto" w:fill="F0F4F8"/>
            <w:tcBorders>
              <w:bottom w:val="single" w:sz="4" w:color="DDDDDD" w:space="0"/>
            </w:tcBorders>
          </w:tcPr>
          <w:p>
            <w:pPr>
              <w:spacing w:before="60" w:after="60"/>
            </w:pPr>
            <w:r>
              <w:rPr>
                <w:rFonts w:ascii="Calibri" w:hAnsi="Calibri"/>
                <w:b w:val="0"/>
                <w:i w:val="0"/>
                <w:color w:val="2D2D2D"/>
                <w:sz w:val="18"/>
              </w:rPr>
              <w:t>Formule de révision contractuelle</w:t>
            </w:r>
          </w:p>
        </w:tc>
        <w:tc>
          <w:tcPr>
            <w:tcW w:type="dxa" w:w="3402"/>
            <w:shd w:val="clear" w:color="auto" w:fill="F0F4F8"/>
            <w:tcBorders>
              <w:bottom w:val="single" w:sz="4" w:color="DDDDDD" w:space="0"/>
            </w:tcBorders>
          </w:tcPr>
          <w:p>
            <w:pPr>
              <w:spacing w:before="60" w:after="60"/>
            </w:pPr>
            <w:r>
              <w:rPr>
                <w:rFonts w:ascii="Calibri" w:hAnsi="Calibri"/>
                <w:b w:val="0"/>
                <w:i w:val="0"/>
                <w:color w:val="2D2D2D"/>
                <w:sz w:val="18"/>
              </w:rPr>
              <w:t>Actualisation et révision (CCAP)</w:t>
            </w:r>
          </w:p>
        </w:tc>
      </w:tr>
      <w:tr>
        <w:tc>
          <w:tcPr>
            <w:tcW w:type="dxa" w:w="2268"/>
            <w:shd w:val="clear" w:color="auto" w:fill="FFFFFF"/>
            <w:tcBorders>
              <w:bottom w:val="single" w:sz="4" w:color="DDDDDD" w:space="0"/>
            </w:tcBorders>
          </w:tcPr>
          <w:p>
            <w:pPr>
              <w:spacing w:before="60" w:after="60"/>
            </w:pPr>
            <w:r>
              <w:rPr>
                <w:rFonts w:ascii="Calibri" w:hAnsi="Calibri"/>
                <w:b w:val="0"/>
                <w:i w:val="0"/>
                <w:color w:val="2D2D2D"/>
                <w:sz w:val="18"/>
              </w:rPr>
              <w:t>Commission</w:t>
            </w:r>
          </w:p>
        </w:tc>
        <w:tc>
          <w:tcPr>
            <w:tcW w:type="dxa" w:w="3685"/>
            <w:shd w:val="clear" w:color="auto" w:fill="FFFFFF"/>
            <w:tcBorders>
              <w:bottom w:val="single" w:sz="4" w:color="DDDDDD" w:space="0"/>
            </w:tcBorders>
          </w:tcPr>
          <w:p>
            <w:pPr>
              <w:spacing w:before="60" w:after="60"/>
            </w:pPr>
            <w:r>
              <w:rPr>
                <w:rFonts w:ascii="Calibri" w:hAnsi="Calibri"/>
                <w:b w:val="0"/>
                <w:i w:val="0"/>
                <w:color w:val="2D2D2D"/>
                <w:sz w:val="18"/>
              </w:rPr>
              <w:t>Commission d'Appel d'Offres (CAO)</w:t>
            </w:r>
          </w:p>
        </w:tc>
        <w:tc>
          <w:tcPr>
            <w:tcW w:type="dxa" w:w="3402"/>
            <w:shd w:val="clear" w:color="auto" w:fill="FFFFFF"/>
            <w:tcBorders>
              <w:bottom w:val="single" w:sz="4" w:color="DDDDDD" w:space="0"/>
            </w:tcBorders>
          </w:tcPr>
          <w:p>
            <w:pPr>
              <w:spacing w:before="60" w:after="60"/>
            </w:pPr>
            <w:r>
              <w:rPr>
                <w:rFonts w:ascii="Calibri" w:hAnsi="Calibri"/>
                <w:b w:val="0"/>
                <w:i w:val="0"/>
                <w:color w:val="2D2D2D"/>
                <w:sz w:val="18"/>
              </w:rPr>
              <w:t>Commission d'Appel d'Offres</w:t>
            </w:r>
          </w:p>
        </w:tc>
      </w:tr>
    </w:tbl>
    <w:p>
      <w:pPr>
        <w:spacing w:after="160"/>
      </w:pPr>
    </w:p>
    <w:p>
      <w:pPr>
        <w:spacing w:before="80" w:after="160"/>
        <w:jc w:val="both"/>
      </w:pPr>
      <w:r>
        <w:rPr>
          <w:rFonts w:ascii="Calibri" w:hAnsi="Calibri"/>
          <w:b w:val="0"/>
          <w:i w:val="0"/>
          <w:color w:val="1E3A5F"/>
          <w:sz w:val="19"/>
        </w:rPr>
        <w:t>Mêmes fondamentaux de la commande publique — deux cadres réglementaires distincts — une seule exigence : la rigueur</w:t>
      </w:r>
    </w:p>
    <w:p>
      <w:pPr>
        <w:spacing w:before="360" w:after="120"/>
      </w:pPr>
      <w:r>
        <w:rPr>
          <w:rFonts w:ascii="Calibri" w:hAnsi="Calibri"/>
          <w:b/>
          <w:i w:val="0"/>
          <w:color w:val="2E86C1"/>
          <w:sz w:val="26"/>
        </w:rPr>
        <w:t>5.3 Bilan réflexif</w:t>
      </w:r>
    </w:p>
    <w:p>
      <w:pPr>
        <w:spacing w:before="0" w:after="120"/>
        <w:jc w:val="both"/>
      </w:pPr>
      <w:r>
        <w:rPr>
          <w:rFonts w:ascii="Calibri" w:hAnsi="Calibri"/>
          <w:b w:val="0"/>
          <w:i w:val="0"/>
          <w:color w:val="2D2D2D"/>
          <w:sz w:val="21"/>
        </w:rPr>
        <w:t>Avec le recul, chaque situation m'a appris quelque chose sur ma façon de travailler. Certains réflexes sont venus tardivement — le tableau de bord, la demande d'études complémentaires, la traçabilité photographique. Ce bilan tire les leçons de 8 années de pratique pour construire la suite.</w:t>
      </w:r>
    </w:p>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567"/>
            <w:shd w:val="clear" w:color="auto" w:fill="F39200"/>
          </w:tcPr>
          <w:p>
            <w:pPr>
              <w:spacing w:before="200" w:after="200"/>
              <w:jc w:val="center"/>
            </w:pPr>
            <w:r>
              <w:rPr>
                <w:rFonts w:ascii="Calibri" w:hAnsi="Calibri"/>
                <w:b/>
                <w:i w:val="0"/>
                <w:color w:val="FFFFFF"/>
                <w:sz w:val="28"/>
              </w:rPr>
              <w:t>A</w:t>
            </w:r>
          </w:p>
        </w:tc>
        <w:tc>
          <w:tcPr>
            <w:tcW w:type="dxa" w:w="8787"/>
            <w:shd w:val="clear" w:color="auto" w:fill="FFF8F0"/>
          </w:tcPr>
          <w:p>
            <w:pPr>
              <w:spacing w:before="160" w:after="80"/>
            </w:pPr>
            <w:r>
              <w:rPr>
                <w:rFonts w:ascii="Calibri" w:hAnsi="Calibri"/>
                <w:b/>
                <w:i w:val="0"/>
                <w:color w:val="F39200"/>
                <w:sz w:val="22"/>
              </w:rPr>
              <w:t>Ce que j'ai appris</w:t>
            </w:r>
          </w:p>
          <w:p>
            <w:pPr>
              <w:spacing w:before="80" w:after="200"/>
              <w:jc w:val="both"/>
            </w:pPr>
            <w:r>
              <w:rPr>
                <w:rFonts w:ascii="Calibri" w:hAnsi="Calibri"/>
                <w:b w:val="0"/>
                <w:i w:val="0"/>
                <w:color w:val="2D2D2D"/>
                <w:sz w:val="19"/>
              </w:rPr>
              <w:t>La leçon la plus forte vient de la semaine 23, quand j'ai dû gérer trois crises simultanées sur quatre chantiers distants de 80 km. J'ai compris que l'écrit systématique — ordres de service, attachements contradictoires, comptes-rendus consolidés — est le seul rempart réel contre les litiges. Sans la trace écrite signée à Kerrouchen, le dépassement de 0,8% aurait pu être contesté par l'entreprise. J'ai aussi appris la valeur d'une estimation bien construite : croiser trois sources de prix m'a donné un écart de 3,2% là où les estimations de la région dépassaient souvent 10%. Et j'ai compris que comprendre les contraintes d'exécution depuis le terrain — coûts réels, rendements, aléas climatiques — rend les estimations infiniment plus justes.</w:t>
            </w:r>
          </w:p>
        </w:tc>
      </w:tr>
    </w:tbl>
    <w:p>
      <w:pPr>
        <w:spacing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567"/>
            <w:shd w:val="clear" w:color="auto" w:fill="5CC8C0"/>
          </w:tcPr>
          <w:p>
            <w:pPr>
              <w:spacing w:before="200" w:after="200"/>
              <w:jc w:val="center"/>
            </w:pPr>
            <w:r>
              <w:rPr>
                <w:rFonts w:ascii="Calibri" w:hAnsi="Calibri"/>
                <w:b/>
                <w:i w:val="0"/>
                <w:color w:val="FFFFFF"/>
                <w:sz w:val="28"/>
              </w:rPr>
              <w:t>D</w:t>
            </w:r>
          </w:p>
        </w:tc>
        <w:tc>
          <w:tcPr>
            <w:tcW w:type="dxa" w:w="8787"/>
            <w:shd w:val="clear" w:color="auto" w:fill="E8F8F6"/>
          </w:tcPr>
          <w:p>
            <w:pPr>
              <w:spacing w:before="160" w:after="80"/>
            </w:pPr>
            <w:r>
              <w:rPr>
                <w:rFonts w:ascii="Calibri" w:hAnsi="Calibri"/>
                <w:b/>
                <w:i w:val="0"/>
                <w:color w:val="5CC8C0"/>
                <w:sz w:val="22"/>
              </w:rPr>
              <w:t>Ce que je ferais différemment</w:t>
            </w:r>
          </w:p>
          <w:p>
            <w:pPr>
              <w:spacing w:before="80" w:after="200"/>
              <w:jc w:val="both"/>
            </w:pPr>
            <w:r>
              <w:rPr>
                <w:rFonts w:ascii="Calibri" w:hAnsi="Calibri"/>
                <w:b w:val="0"/>
                <w:i w:val="0"/>
                <w:color w:val="2D2D2D"/>
                <w:sz w:val="19"/>
              </w:rPr>
              <w:t>Avec le recul, j'aurais déployé le tableau de bord financier dès le premier mois — pas au neuvième, quand le signal d'alerte était déjà à +4,8%. Le problème détecté tôt coûte dix fois moins cher à corriger. J'aurais aussi insisté pour une étude géotechnique complémentaire avant les terrassements : la reclassification tardive de 5 000 m³ en déblais rocheux (285 000 DH de surcoût) aurait pu être anticipée et budgétée dès le lancement. Et j'aurais standardisé mes comptes-rendus dès le démarrage du chantier. Celui que j'ai créé dans l'urgence de la semaine 23 est devenu le modèle de l'Agence — preuve qu'un bon outil, même créé sous pression, finit toujours par s'imposer.</w:t>
            </w:r>
          </w:p>
        </w:tc>
      </w:tr>
    </w:tbl>
    <w:p>
      <w:pPr>
        <w:spacing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567"/>
            <w:shd w:val="clear" w:color="auto" w:fill="1E3A5F"/>
          </w:tcPr>
          <w:p>
            <w:pPr>
              <w:spacing w:before="200" w:after="200"/>
              <w:jc w:val="center"/>
            </w:pPr>
            <w:r>
              <w:rPr>
                <w:rFonts w:ascii="Calibri" w:hAnsi="Calibri"/>
                <w:b/>
                <w:i w:val="0"/>
                <w:color w:val="FFFFFF"/>
                <w:sz w:val="28"/>
              </w:rPr>
              <w:t>M</w:t>
            </w:r>
          </w:p>
        </w:tc>
        <w:tc>
          <w:tcPr>
            <w:tcW w:type="dxa" w:w="8787"/>
            <w:shd w:val="clear" w:color="auto" w:fill="EDF1F5"/>
          </w:tcPr>
          <w:p>
            <w:pPr>
              <w:spacing w:before="160" w:after="80"/>
            </w:pPr>
            <w:r>
              <w:rPr>
                <w:rFonts w:ascii="Calibri" w:hAnsi="Calibri"/>
                <w:b/>
                <w:i w:val="0"/>
                <w:color w:val="1E3A5F"/>
                <w:sz w:val="22"/>
              </w:rPr>
              <w:t>Ce que j'apporte au BTS MEC</w:t>
            </w:r>
          </w:p>
          <w:p>
            <w:pPr>
              <w:spacing w:before="80" w:after="200"/>
              <w:jc w:val="both"/>
            </w:pPr>
            <w:r>
              <w:rPr>
                <w:rFonts w:ascii="Calibri" w:hAnsi="Calibri"/>
                <w:b w:val="0"/>
                <w:i w:val="0"/>
                <w:color w:val="2D2D2D"/>
                <w:sz w:val="19"/>
              </w:rPr>
              <w:t>Mon expérience côté maîtrise d'ouvrage m'a appris que l'estimation confidentielle est l'acte fondateur de tout marché public — c'est elle qui conditionne la viabilité du projet. En France, j'ai retrouvé les mêmes fondamentaux avec le DQE et le DPGF, dans un cadre normatif différent. Peu de professionnels de l'économie de la construction combinent une expérience significative côté maîtrise d'ouvrage, côté exécution et une maîtrise du BIM. Le BTS MEC formalise ce que j'ai appris sur le terrain : la chaîne qui va du métré au décompte, en maîtrisant chaque maillon. Le BIM me permet aujourd'hui d'automatiser cette chaîne et de la rendre plus fiable — c'est sur cette triple conviction que j'ai fondé BIMCO.</w:t>
            </w:r>
          </w:p>
        </w:tc>
      </w:tr>
    </w:tbl>
    <w:p>
      <w:pPr>
        <w:spacing w:after="120"/>
      </w:pPr>
    </w:p>
    <w:p>
      <w:pPr>
        <w:spacing w:before="360" w:after="120"/>
      </w:pPr>
      <w:r>
        <w:rPr>
          <w:rFonts w:ascii="Calibri" w:hAnsi="Calibri"/>
          <w:b/>
          <w:i w:val="0"/>
          <w:color w:val="2E86C1"/>
          <w:sz w:val="26"/>
        </w:rPr>
        <w:t>5.4 Protocole de collaboration BIM</w:t>
      </w:r>
    </w:p>
    <w:p>
      <w:pPr>
        <w:spacing w:before="0" w:after="120"/>
        <w:jc w:val="both"/>
      </w:pPr>
      <w:r>
        <w:rPr>
          <w:rFonts w:ascii="Calibri" w:hAnsi="Calibri"/>
          <w:b w:val="0"/>
          <w:i w:val="0"/>
          <w:color w:val="2D2D2D"/>
          <w:sz w:val="21"/>
        </w:rPr>
        <w:t>Le BIM transforme la chaîne métré → estimation → chiffrage en la rendant plus fiable et plus rapide. Ma formation Technicien Modeleur BIM (AFPA Colmar, 8 mois) m'a permis de modéliser un bâtiment R+2 et d'en extraire automatiquement 78 postes de métrés — avec un écart de seulement 1,8% par rapport au métré manuel traditionnel. La détection de 12 clashs structure/réseaux illustre la valeur ajoutée concrète.</w:t>
      </w:r>
    </w:p>
    <w:tbl>
      <w:tblPr>
        <w:tblW w:type="auto" w:w="0"/>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5"/>
            <w:shd w:val="clear" w:color="auto" w:fill="5CC8C0"/>
          </w:tcPr>
          <w:p>
            <w:pPr>
              <w:spacing w:before="80" w:after="80"/>
            </w:pPr>
            <w:r>
              <w:rPr>
                <w:rFonts w:ascii="Calibri" w:hAnsi="Calibri"/>
                <w:b/>
                <w:i w:val="0"/>
                <w:color w:val="FFFFFF"/>
                <w:sz w:val="20"/>
              </w:rPr>
              <w:t>CONVENTION BIM APPLIQUÉE</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4677"/>
        <w:gridCol w:w="4677"/>
      </w:tblGrid>
      <w:tr>
        <w:tc>
          <w:tcPr>
            <w:tcW w:type="dxa" w:w="2268"/>
            <w:shd w:val="clear" w:color="auto" w:fill="F0F4F8"/>
          </w:tcPr>
          <w:p>
            <w:pPr>
              <w:spacing w:before="80" w:after="80"/>
            </w:pPr>
            <w:r>
              <w:rPr>
                <w:rFonts w:ascii="Calibri" w:hAnsi="Calibri"/>
                <w:b/>
                <w:i w:val="0"/>
                <w:color w:val="1E3A5F"/>
                <w:sz w:val="19"/>
              </w:rPr>
              <w:t>Niveaux de détail</w:t>
            </w:r>
          </w:p>
        </w:tc>
        <w:tc>
          <w:tcPr>
            <w:tcW w:type="dxa" w:w="7087"/>
            <w:shd w:val="clear" w:color="auto" w:fill="F0F4F8"/>
          </w:tcPr>
          <w:p>
            <w:pPr>
              <w:spacing w:before="80" w:after="80"/>
            </w:pPr>
            <w:r>
              <w:rPr>
                <w:rFonts w:ascii="Calibri" w:hAnsi="Calibri"/>
                <w:b w:val="0"/>
                <w:i w:val="0"/>
                <w:color w:val="2D2D2D"/>
                <w:sz w:val="19"/>
              </w:rPr>
              <w:t>LOD 300 (géométrie précise pour chiffrage) / LOI 3 (données matériaux, performances)</w:t>
            </w:r>
          </w:p>
        </w:tc>
      </w:tr>
      <w:tr>
        <w:tc>
          <w:tcPr>
            <w:tcW w:type="dxa" w:w="2268"/>
            <w:shd w:val="clear" w:color="auto" w:fill="FFFFFF"/>
          </w:tcPr>
          <w:p>
            <w:pPr>
              <w:spacing w:before="80" w:after="80"/>
            </w:pPr>
            <w:r>
              <w:rPr>
                <w:rFonts w:ascii="Calibri" w:hAnsi="Calibri"/>
                <w:b/>
                <w:i w:val="0"/>
                <w:color w:val="1E3A5F"/>
                <w:sz w:val="19"/>
              </w:rPr>
              <w:t>Format d'échange</w:t>
            </w:r>
          </w:p>
        </w:tc>
        <w:tc>
          <w:tcPr>
            <w:tcW w:type="dxa" w:w="7087"/>
            <w:shd w:val="clear" w:color="auto" w:fill="FFFFFF"/>
          </w:tcPr>
          <w:p>
            <w:pPr>
              <w:spacing w:before="80" w:after="80"/>
            </w:pPr>
            <w:r>
              <w:rPr>
                <w:rFonts w:ascii="Calibri" w:hAnsi="Calibri"/>
                <w:b w:val="0"/>
                <w:i w:val="0"/>
                <w:color w:val="2D2D2D"/>
                <w:sz w:val="19"/>
              </w:rPr>
              <w:t>IFC 2x3 – Open BIM | MVD Coordination View 2.0</w:t>
            </w:r>
          </w:p>
        </w:tc>
      </w:tr>
      <w:tr>
        <w:tc>
          <w:tcPr>
            <w:tcW w:type="dxa" w:w="2268"/>
            <w:shd w:val="clear" w:color="auto" w:fill="F0F4F8"/>
          </w:tcPr>
          <w:p>
            <w:pPr>
              <w:spacing w:before="80" w:after="80"/>
            </w:pPr>
            <w:r>
              <w:rPr>
                <w:rFonts w:ascii="Calibri" w:hAnsi="Calibri"/>
                <w:b/>
                <w:i w:val="0"/>
                <w:color w:val="1E3A5F"/>
                <w:sz w:val="19"/>
              </w:rPr>
              <w:t>Plateforme</w:t>
            </w:r>
          </w:p>
        </w:tc>
        <w:tc>
          <w:tcPr>
            <w:tcW w:type="dxa" w:w="7087"/>
            <w:shd w:val="clear" w:color="auto" w:fill="F0F4F8"/>
          </w:tcPr>
          <w:p>
            <w:pPr>
              <w:spacing w:before="80" w:after="80"/>
            </w:pPr>
            <w:r>
              <w:rPr>
                <w:rFonts w:ascii="Calibri" w:hAnsi="Calibri"/>
                <w:b w:val="0"/>
                <w:i w:val="0"/>
                <w:color w:val="2D2D2D"/>
                <w:sz w:val="19"/>
              </w:rPr>
              <w:t>Serveur collaboratif BIM360 avec gestion des droits et historique des versions</w:t>
            </w:r>
          </w:p>
        </w:tc>
      </w:tr>
      <w:tr>
        <w:tc>
          <w:tcPr>
            <w:tcW w:type="dxa" w:w="2268"/>
            <w:shd w:val="clear" w:color="auto" w:fill="FFFFFF"/>
          </w:tcPr>
          <w:p>
            <w:pPr>
              <w:spacing w:before="80" w:after="80"/>
            </w:pPr>
            <w:r>
              <w:rPr>
                <w:rFonts w:ascii="Calibri" w:hAnsi="Calibri"/>
                <w:b/>
                <w:i w:val="0"/>
                <w:color w:val="1E3A5F"/>
                <w:sz w:val="19"/>
              </w:rPr>
              <w:t>Nomenclature</w:t>
            </w:r>
          </w:p>
        </w:tc>
        <w:tc>
          <w:tcPr>
            <w:tcW w:type="dxa" w:w="7087"/>
            <w:shd w:val="clear" w:color="auto" w:fill="FFFFFF"/>
          </w:tcPr>
          <w:p>
            <w:pPr>
              <w:spacing w:before="80" w:after="80"/>
            </w:pPr>
            <w:r>
              <w:rPr>
                <w:rFonts w:ascii="Calibri" w:hAnsi="Calibri"/>
                <w:b w:val="0"/>
                <w:i w:val="0"/>
                <w:color w:val="2D2D2D"/>
                <w:sz w:val="19"/>
              </w:rPr>
              <w:t>Phase_Discipline_Lot_Niveau (ex : EXE_STR_LOT02_R+1)</w:t>
            </w:r>
          </w:p>
        </w:tc>
      </w:tr>
    </w:tbl>
    <w:p>
      <w:pPr>
        <w:spacing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5"/>
            <w:shd w:val="clear" w:color="auto" w:fill="1E3A5F"/>
          </w:tcPr>
          <w:p>
            <w:pPr>
              <w:spacing w:before="80" w:after="80"/>
            </w:pPr>
            <w:r>
              <w:rPr>
                <w:rFonts w:ascii="Calibri" w:hAnsi="Calibri"/>
                <w:b/>
                <w:i w:val="0"/>
                <w:color w:val="FFFFFF"/>
                <w:sz w:val="20"/>
              </w:rPr>
              <w:t>WORKFLOW BIM</w:t>
            </w:r>
          </w:p>
        </w:tc>
      </w:tr>
    </w:tbl>
    <w:p>
      <w:pPr>
        <w:spacing w:after="80"/>
      </w:pPr>
    </w:p>
    <w:p>
      <w:pPr>
        <w:spacing w:before="40" w:after="40"/>
        <w:ind w:left="283"/>
      </w:pPr>
      <w:r>
        <w:rPr>
          <w:rFonts w:ascii="Calibri" w:hAnsi="Calibri"/>
          <w:b/>
          <w:i w:val="0"/>
          <w:color w:val="5CC8C0"/>
          <w:sz w:val="20"/>
        </w:rPr>
        <w:t xml:space="preserve">▸  </w:t>
      </w:r>
      <w:r>
        <w:rPr>
          <w:rFonts w:ascii="Calibri" w:hAnsi="Calibri"/>
          <w:b w:val="0"/>
          <w:i w:val="0"/>
          <w:color w:val="2D2D2D"/>
          <w:sz w:val="20"/>
        </w:rPr>
        <w:t>1. Modélisation Revit Architecture + Structure</w:t>
      </w:r>
    </w:p>
    <w:p>
      <w:pPr>
        <w:spacing w:before="40" w:after="40"/>
        <w:ind w:left="283"/>
      </w:pPr>
      <w:r>
        <w:rPr>
          <w:rFonts w:ascii="Calibri" w:hAnsi="Calibri"/>
          <w:b/>
          <w:i w:val="0"/>
          <w:color w:val="5CC8C0"/>
          <w:sz w:val="20"/>
        </w:rPr>
        <w:t xml:space="preserve">▸  </w:t>
      </w:r>
      <w:r>
        <w:rPr>
          <w:rFonts w:ascii="Calibri" w:hAnsi="Calibri"/>
          <w:b w:val="0"/>
          <w:i w:val="0"/>
          <w:color w:val="2D2D2D"/>
          <w:sz w:val="20"/>
        </w:rPr>
        <w:t>2. Export IFC et vérification de conformité</w:t>
      </w:r>
    </w:p>
    <w:p>
      <w:pPr>
        <w:spacing w:before="40" w:after="40"/>
        <w:ind w:left="283"/>
      </w:pPr>
      <w:r>
        <w:rPr>
          <w:rFonts w:ascii="Calibri" w:hAnsi="Calibri"/>
          <w:b/>
          <w:i w:val="0"/>
          <w:color w:val="5CC8C0"/>
          <w:sz w:val="20"/>
        </w:rPr>
        <w:t xml:space="preserve">▸  </w:t>
      </w:r>
      <w:r>
        <w:rPr>
          <w:rFonts w:ascii="Calibri" w:hAnsi="Calibri"/>
          <w:b w:val="0"/>
          <w:i w:val="0"/>
          <w:color w:val="2D2D2D"/>
          <w:sz w:val="20"/>
        </w:rPr>
        <w:t>3. Coordination et détection de clashs (Navisworks)</w:t>
      </w:r>
    </w:p>
    <w:p>
      <w:pPr>
        <w:spacing w:before="40" w:after="40"/>
        <w:ind w:left="283"/>
      </w:pPr>
      <w:r>
        <w:rPr>
          <w:rFonts w:ascii="Calibri" w:hAnsi="Calibri"/>
          <w:b/>
          <w:i w:val="0"/>
          <w:color w:val="5CC8C0"/>
          <w:sz w:val="20"/>
        </w:rPr>
        <w:t xml:space="preserve">▸  </w:t>
      </w:r>
      <w:r>
        <w:rPr>
          <w:rFonts w:ascii="Calibri" w:hAnsi="Calibri"/>
          <w:b w:val="0"/>
          <w:i w:val="0"/>
          <w:color w:val="2D2D2D"/>
          <w:sz w:val="20"/>
        </w:rPr>
        <w:t>4. Résolution des conflits entre disciplines</w:t>
      </w:r>
    </w:p>
    <w:p>
      <w:pPr>
        <w:spacing w:before="40" w:after="40"/>
        <w:ind w:left="283"/>
      </w:pPr>
      <w:r>
        <w:rPr>
          <w:rFonts w:ascii="Calibri" w:hAnsi="Calibri"/>
          <w:b/>
          <w:i w:val="0"/>
          <w:color w:val="5CC8C0"/>
          <w:sz w:val="20"/>
        </w:rPr>
        <w:t xml:space="preserve">▸  </w:t>
      </w:r>
      <w:r>
        <w:rPr>
          <w:rFonts w:ascii="Calibri" w:hAnsi="Calibri"/>
          <w:b w:val="0"/>
          <w:i w:val="0"/>
          <w:color w:val="2D2D2D"/>
          <w:sz w:val="20"/>
        </w:rPr>
        <w:t>5. Extraction automatique des quantités (Revit + Dynamo)</w:t>
      </w:r>
    </w:p>
    <w:p>
      <w:pPr>
        <w:spacing w:before="40" w:after="40"/>
        <w:ind w:left="283"/>
      </w:pPr>
      <w:r>
        <w:rPr>
          <w:rFonts w:ascii="Calibri" w:hAnsi="Calibri"/>
          <w:b/>
          <w:i w:val="0"/>
          <w:color w:val="5CC8C0"/>
          <w:sz w:val="20"/>
        </w:rPr>
        <w:t xml:space="preserve">▸  </w:t>
      </w:r>
      <w:r>
        <w:rPr>
          <w:rFonts w:ascii="Calibri" w:hAnsi="Calibri"/>
          <w:b w:val="0"/>
          <w:i w:val="0"/>
          <w:color w:val="2D2D2D"/>
          <w:sz w:val="20"/>
        </w:rPr>
        <w:t>6. Chiffrage et reporting avec traçabilité maquette</w:t>
      </w:r>
    </w:p>
    <w:tbl>
      <w:tblPr>
        <w:tblW w:type="auto" w:w="0"/>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5"/>
            <w:shd w:val="clear" w:color="auto" w:fill="F39200"/>
          </w:tcPr>
          <w:p>
            <w:pPr>
              <w:spacing w:before="80" w:after="80"/>
            </w:pPr>
            <w:r>
              <w:rPr>
                <w:rFonts w:ascii="Calibri" w:hAnsi="Calibri"/>
                <w:b/>
                <w:i w:val="0"/>
                <w:color w:val="FFFFFF"/>
                <w:sz w:val="20"/>
              </w:rPr>
              <w:t>CAS APPLIQUÉ : Bâtiment R+2 (Formation AFPA Colmar)</w:t>
            </w:r>
          </w:p>
        </w:tc>
      </w:tr>
    </w:tbl>
    <w:p>
      <w:pPr>
        <w:spacing w:after="80"/>
      </w:pPr>
    </w:p>
    <w:p>
      <w:pPr>
        <w:spacing w:before="0" w:after="80"/>
        <w:jc w:val="both"/>
      </w:pPr>
      <w:r>
        <w:rPr>
          <w:rFonts w:ascii="Calibri" w:hAnsi="Calibri"/>
          <w:b w:val="0"/>
          <w:i w:val="0"/>
          <w:color w:val="2D2D2D"/>
          <w:sz w:val="21"/>
        </w:rPr>
        <w:t>Maquette Revit d'un bâtiment R+2 (logements collectifs, 850 m² SHAB). Extraction automatique de 78 postes de métrés : surfaces de planchers, volumes béton (fondations, poteaux, poutres), linéaires de murs et quantités d'acier. Résultat : un écart de seulement 1,8% avec le métré manuel traditionnel. La détection de clashs en amont (12 conflits structure/réseaux, tous résolus) illustre la valeur ajoutée concrète du processus pour l'économiste.</w:t>
      </w:r>
    </w:p>
    <w:p>
      <w:pPr>
        <w:spacing w:before="80" w:after="160"/>
        <w:jc w:val="both"/>
      </w:pPr>
      <w:r>
        <w:rPr>
          <w:rFonts w:ascii="Calibri" w:hAnsi="Calibri"/>
          <w:b w:val="0"/>
          <w:i w:val="0"/>
          <w:color w:val="2E86C1"/>
          <w:sz w:val="18"/>
        </w:rPr>
        <w:t>Le BIM transforme la chaîne métré → estimation → chiffrage. Sur le cas AFPA : extraction automatique en 2h vs 2 jours en métré traditionnel, écart de seulement 1,8%. Avantages pour l'économiste MEC : estimations plus fiables (données issues du modèle 3D), traçabilité totale (chaque quantité liée à un objet BIM), mise à jour instantanée (modification du modèle → recalcul automatique des quantités). Vision BIMCO : développer des plugins Revit/Dynamo pour automatiser le passage maquette → DPGF.</w:t>
      </w:r>
    </w:p>
    <w:p>
      <w:pPr>
        <w:spacing w:before="360" w:after="120"/>
      </w:pPr>
      <w:r>
        <w:rPr>
          <w:rFonts w:ascii="Calibri" w:hAnsi="Calibri"/>
          <w:b/>
          <w:i w:val="0"/>
          <w:color w:val="2E86C1"/>
          <w:sz w:val="26"/>
        </w:rPr>
        <w:t>5.5 Mon projet professionnel</w:t>
      </w:r>
    </w:p>
    <w:p>
      <w:pPr>
        <w:spacing w:before="0" w:after="160"/>
        <w:jc w:val="both"/>
      </w:pPr>
      <w:r>
        <w:rPr>
          <w:rFonts w:ascii="Calibri" w:hAnsi="Calibri"/>
          <w:b w:val="0"/>
          <w:i w:val="0"/>
          <w:color w:val="2D2D2D"/>
          <w:sz w:val="21"/>
        </w:rPr>
        <w:t>Mon projet repose sur une conviction forte : les outils numériques doivent être au service de l'économiste de la construction — et non l'inverse. Le marché de l'ingénierie BIM est dominé par des architectes et ingénieurs ; très peu d'économistes maîtrisent à la fois le BIM, le développement d'outils et la réalité du terrain. BIMCO occupe ce créneau rare : la rigueur de l'économiste terrain combinée aux outils du BIM (Revit, Dynamo, plugins C#, apps web).</w:t>
      </w:r>
    </w:p>
    <w:tbl>
      <w:tblPr>
        <w:tblW w:type="auto" w:w="0"/>
        <w:tblLook w:firstColumn="1" w:firstRow="1" w:lastColumn="0" w:lastRow="0" w:noHBand="0" w:noVBand="1" w:val="04A0"/>
        <w:tblBorders>
          <w:top w:val="none"/>
          <w:left w:val="none"/>
          <w:bottom w:val="none"/>
          <w:right w:val="none"/>
          <w:insideH w:val="none"/>
          <w:insideV w:val="none"/>
        </w:tblBorders>
      </w:tblPr>
      <w:tblGrid>
        <w:gridCol w:w="3118"/>
        <w:gridCol w:w="3118"/>
        <w:gridCol w:w="3118"/>
      </w:tblGrid>
      <w:tr>
        <w:tc>
          <w:tcPr>
            <w:tcW w:type="dxa" w:w="3118"/>
            <w:shd w:val="clear" w:color="auto" w:fill="F39200"/>
          </w:tcPr>
          <w:p>
            <w:pPr>
              <w:spacing w:before="120" w:after="40"/>
              <w:jc w:val="center"/>
            </w:pPr>
            <w:r>
              <w:rPr>
                <w:rFonts w:ascii="Calibri" w:hAnsi="Calibri"/>
                <w:b/>
                <w:i w:val="0"/>
                <w:color w:val="FFFFFF"/>
                <w:sz w:val="20"/>
              </w:rPr>
              <w:t>COURT TERME</w:t>
            </w:r>
          </w:p>
          <w:p>
            <w:pPr>
              <w:spacing w:before="0" w:after="120"/>
              <w:jc w:val="center"/>
            </w:pPr>
            <w:r>
              <w:rPr>
                <w:rFonts w:ascii="Calibri" w:hAnsi="Calibri"/>
                <w:b w:val="0"/>
                <w:i w:val="0"/>
                <w:color w:val="FFEECC"/>
                <w:sz w:val="18"/>
              </w:rPr>
              <w:t>2026</w:t>
            </w:r>
          </w:p>
        </w:tc>
        <w:tc>
          <w:tcPr>
            <w:tcW w:type="dxa" w:w="3118"/>
            <w:shd w:val="clear" w:color="auto" w:fill="5CC8C0"/>
          </w:tcPr>
          <w:p>
            <w:pPr>
              <w:spacing w:before="120" w:after="40"/>
              <w:jc w:val="center"/>
            </w:pPr>
            <w:r>
              <w:rPr>
                <w:rFonts w:ascii="Calibri" w:hAnsi="Calibri"/>
                <w:b/>
                <w:i w:val="0"/>
                <w:color w:val="FFFFFF"/>
                <w:sz w:val="20"/>
              </w:rPr>
              <w:t>MOYEN TERME</w:t>
            </w:r>
          </w:p>
          <w:p>
            <w:pPr>
              <w:spacing w:before="0" w:after="120"/>
              <w:jc w:val="center"/>
            </w:pPr>
            <w:r>
              <w:rPr>
                <w:rFonts w:ascii="Calibri" w:hAnsi="Calibri"/>
                <w:b w:val="0"/>
                <w:i w:val="0"/>
                <w:color w:val="FFEECC"/>
                <w:sz w:val="18"/>
              </w:rPr>
              <w:t>2027-28</w:t>
            </w:r>
          </w:p>
        </w:tc>
        <w:tc>
          <w:tcPr>
            <w:tcW w:type="dxa" w:w="3118"/>
            <w:shd w:val="clear" w:color="auto" w:fill="1E3A5F"/>
          </w:tcPr>
          <w:p>
            <w:pPr>
              <w:spacing w:before="120" w:after="40"/>
              <w:jc w:val="center"/>
            </w:pPr>
            <w:r>
              <w:rPr>
                <w:rFonts w:ascii="Calibri" w:hAnsi="Calibri"/>
                <w:b/>
                <w:i w:val="0"/>
                <w:color w:val="FFFFFF"/>
                <w:sz w:val="20"/>
              </w:rPr>
              <w:t>LONG TERME</w:t>
            </w:r>
          </w:p>
          <w:p>
            <w:pPr>
              <w:spacing w:before="0" w:after="120"/>
              <w:jc w:val="center"/>
            </w:pPr>
            <w:r>
              <w:rPr>
                <w:rFonts w:ascii="Calibri" w:hAnsi="Calibri"/>
                <w:b w:val="0"/>
                <w:i w:val="0"/>
                <w:color w:val="FFEECC"/>
                <w:sz w:val="18"/>
              </w:rPr>
              <w:t>2029+</w:t>
            </w:r>
          </w:p>
        </w:tc>
      </w:tr>
      <w:tr>
        <w:tc>
          <w:tcPr>
            <w:tcW w:type="dxa" w:w="3118"/>
            <w:shd w:val="clear" w:color="auto" w:fill="F0F4F8"/>
          </w:tcPr>
          <w:p/>
          <w:p>
            <w:pPr>
              <w:spacing w:before="40" w:after="40"/>
            </w:pPr>
            <w:r>
              <w:rPr>
                <w:rFonts w:ascii="Calibri" w:hAnsi="Calibri"/>
                <w:b w:val="0"/>
                <w:i w:val="0"/>
                <w:color w:val="2D2D2D"/>
                <w:sz w:val="18"/>
              </w:rPr>
              <w:t>Obtenir le BTS MEC — validation officielle du parcours terrain</w:t>
            </w:r>
          </w:p>
          <w:p>
            <w:pPr>
              <w:spacing w:before="40" w:after="40"/>
            </w:pPr>
            <w:r>
              <w:rPr>
                <w:rFonts w:ascii="Calibri" w:hAnsi="Calibri"/>
                <w:b w:val="0"/>
                <w:i w:val="0"/>
                <w:color w:val="2D2D2D"/>
                <w:sz w:val="18"/>
              </w:rPr>
              <w:t>Premières prestations BIMCO :</w:t>
            </w:r>
          </w:p>
          <w:p>
            <w:pPr>
              <w:spacing w:before="40" w:after="40"/>
              <w:ind w:left="170"/>
            </w:pPr>
            <w:r>
              <w:rPr>
                <w:rFonts w:ascii="Calibri" w:hAnsi="Calibri"/>
                <w:b/>
                <w:i w:val="0"/>
                <w:color w:val="F39200"/>
                <w:sz w:val="18"/>
              </w:rPr>
              <w:t xml:space="preserve">▸ </w:t>
            </w:r>
            <w:r>
              <w:rPr>
                <w:rFonts w:ascii="Calibri" w:hAnsi="Calibri"/>
                <w:b w:val="0"/>
                <w:i w:val="0"/>
                <w:color w:val="2D2D2D"/>
                <w:sz w:val="18"/>
              </w:rPr>
              <w:t>Métrés BIM et traditionnels</w:t>
            </w:r>
          </w:p>
          <w:p>
            <w:pPr>
              <w:spacing w:before="40" w:after="40"/>
              <w:ind w:left="170"/>
            </w:pPr>
            <w:r>
              <w:rPr>
                <w:rFonts w:ascii="Calibri" w:hAnsi="Calibri"/>
                <w:b/>
                <w:i w:val="0"/>
                <w:color w:val="F39200"/>
                <w:sz w:val="18"/>
              </w:rPr>
              <w:t xml:space="preserve">▸ </w:t>
            </w:r>
            <w:r>
              <w:rPr>
                <w:rFonts w:ascii="Calibri" w:hAnsi="Calibri"/>
                <w:b w:val="0"/>
                <w:i w:val="0"/>
                <w:color w:val="2D2D2D"/>
                <w:sz w:val="18"/>
              </w:rPr>
              <w:t>Études de prix, DPGF, estimations</w:t>
            </w:r>
          </w:p>
          <w:p>
            <w:pPr>
              <w:spacing w:before="40" w:after="40"/>
              <w:ind w:left="170"/>
            </w:pPr>
            <w:r>
              <w:rPr>
                <w:rFonts w:ascii="Calibri" w:hAnsi="Calibri"/>
                <w:b/>
                <w:i w:val="0"/>
                <w:color w:val="F39200"/>
                <w:sz w:val="18"/>
              </w:rPr>
              <w:t xml:space="preserve">▸ </w:t>
            </w:r>
            <w:r>
              <w:rPr>
                <w:rFonts w:ascii="Calibri" w:hAnsi="Calibri"/>
                <w:b w:val="0"/>
                <w:i w:val="0"/>
                <w:color w:val="2D2D2D"/>
                <w:sz w:val="18"/>
              </w:rPr>
              <w:t>Suivi financier de marchés</w:t>
            </w:r>
          </w:p>
          <w:p>
            <w:pPr>
              <w:spacing w:before="40" w:after="40"/>
            </w:pPr>
            <w:r>
              <w:rPr>
                <w:rFonts w:ascii="Calibri" w:hAnsi="Calibri"/>
                <w:b w:val="0"/>
                <w:i w:val="0"/>
                <w:color w:val="2D2D2D"/>
                <w:sz w:val="18"/>
              </w:rPr>
              <w:t>App 'Gestion Chantiers' déjà livrée</w:t>
            </w:r>
          </w:p>
          <w:p>
            <w:pPr>
              <w:spacing w:before="40" w:after="40"/>
            </w:pPr>
            <w:r>
              <w:rPr>
                <w:rFonts w:ascii="Calibri" w:hAnsi="Calibri"/>
                <w:b w:val="0"/>
                <w:i w:val="0"/>
                <w:color w:val="2D2D2D"/>
                <w:sz w:val="18"/>
              </w:rPr>
              <w:t>(React / Node.js / PostgreSQL)</w:t>
            </w:r>
          </w:p>
          <w:p>
            <w:pPr>
              <w:spacing w:before="40" w:after="40"/>
            </w:pPr>
            <w:r>
              <w:rPr>
                <w:rFonts w:ascii="Calibri" w:hAnsi="Calibri"/>
                <w:b w:val="0"/>
                <w:i w:val="0"/>
                <w:color w:val="2D2D2D"/>
                <w:sz w:val="18"/>
              </w:rPr>
              <w:t>Premiers plugins Revit/Dynamo</w:t>
            </w:r>
          </w:p>
        </w:tc>
        <w:tc>
          <w:tcPr>
            <w:tcW w:type="dxa" w:w="3118"/>
            <w:shd w:val="clear" w:color="auto" w:fill="F0F4F8"/>
          </w:tcPr>
          <w:p/>
          <w:p>
            <w:pPr>
              <w:spacing w:before="40" w:after="40"/>
            </w:pPr>
            <w:r>
              <w:rPr>
                <w:rFonts w:ascii="Calibri" w:hAnsi="Calibri"/>
                <w:b w:val="0"/>
                <w:i w:val="0"/>
                <w:color w:val="2D2D2D"/>
                <w:sz w:val="18"/>
              </w:rPr>
              <w:t>Gamme d'outils BIM pour le MEC :</w:t>
            </w:r>
          </w:p>
          <w:p>
            <w:pPr>
              <w:spacing w:before="40" w:after="40"/>
              <w:ind w:left="170"/>
            </w:pPr>
            <w:r>
              <w:rPr>
                <w:rFonts w:ascii="Calibri" w:hAnsi="Calibri"/>
                <w:b/>
                <w:i w:val="0"/>
                <w:color w:val="5CC8C0"/>
                <w:sz w:val="18"/>
              </w:rPr>
              <w:t xml:space="preserve">▸ </w:t>
            </w:r>
            <w:r>
              <w:rPr>
                <w:rFonts w:ascii="Calibri" w:hAnsi="Calibri"/>
                <w:b w:val="0"/>
                <w:i w:val="0"/>
                <w:color w:val="2D2D2D"/>
                <w:sz w:val="18"/>
              </w:rPr>
              <w:t>Plugin Revit → DPGF automatisé</w:t>
            </w:r>
          </w:p>
          <w:p>
            <w:pPr>
              <w:spacing w:before="40" w:after="40"/>
              <w:ind w:left="170"/>
            </w:pPr>
            <w:r>
              <w:rPr>
                <w:rFonts w:ascii="Calibri" w:hAnsi="Calibri"/>
                <w:b/>
                <w:i w:val="0"/>
                <w:color w:val="5CC8C0"/>
                <w:sz w:val="18"/>
              </w:rPr>
              <w:t xml:space="preserve">▸ </w:t>
            </w:r>
            <w:r>
              <w:rPr>
                <w:rFonts w:ascii="Calibri" w:hAnsi="Calibri"/>
                <w:b w:val="0"/>
                <w:i w:val="0"/>
                <w:color w:val="2D2D2D"/>
                <w:sz w:val="18"/>
              </w:rPr>
              <w:t>Chiffrage assisté par maquette</w:t>
            </w:r>
          </w:p>
          <w:p>
            <w:pPr>
              <w:spacing w:before="40" w:after="40"/>
              <w:ind w:left="170"/>
            </w:pPr>
            <w:r>
              <w:rPr>
                <w:rFonts w:ascii="Calibri" w:hAnsi="Calibri"/>
                <w:b/>
                <w:i w:val="0"/>
                <w:color w:val="5CC8C0"/>
                <w:sz w:val="18"/>
              </w:rPr>
              <w:t xml:space="preserve">▸ </w:t>
            </w:r>
            <w:r>
              <w:rPr>
                <w:rFonts w:ascii="Calibri" w:hAnsi="Calibri"/>
                <w:b w:val="0"/>
                <w:i w:val="0"/>
                <w:color w:val="2D2D2D"/>
                <w:sz w:val="18"/>
              </w:rPr>
              <w:t>Base prix connectée (Batiprix)</w:t>
            </w:r>
          </w:p>
          <w:p>
            <w:pPr>
              <w:spacing w:before="40" w:after="40"/>
              <w:ind w:left="170"/>
            </w:pPr>
            <w:r>
              <w:rPr>
                <w:rFonts w:ascii="Calibri" w:hAnsi="Calibri"/>
                <w:b/>
                <w:i w:val="0"/>
                <w:color w:val="5CC8C0"/>
                <w:sz w:val="18"/>
              </w:rPr>
              <w:t xml:space="preserve">▸ </w:t>
            </w:r>
            <w:r>
              <w:rPr>
                <w:rFonts w:ascii="Calibri" w:hAnsi="Calibri"/>
                <w:b w:val="0"/>
                <w:i w:val="0"/>
                <w:color w:val="2D2D2D"/>
                <w:sz w:val="18"/>
              </w:rPr>
              <w:t>App web suivi économique interactif</w:t>
            </w:r>
          </w:p>
          <w:p>
            <w:pPr>
              <w:spacing w:before="40" w:after="40"/>
              <w:ind w:left="170"/>
            </w:pPr>
            <w:r>
              <w:rPr>
                <w:rFonts w:ascii="Calibri" w:hAnsi="Calibri"/>
                <w:b/>
                <w:i w:val="0"/>
                <w:color w:val="5CC8C0"/>
                <w:sz w:val="18"/>
              </w:rPr>
              <w:t xml:space="preserve">▸ </w:t>
            </w:r>
            <w:r>
              <w:rPr>
                <w:rFonts w:ascii="Calibri" w:hAnsi="Calibri"/>
                <w:b w:val="0"/>
                <w:i w:val="0"/>
                <w:color w:val="2D2D2D"/>
                <w:sz w:val="18"/>
              </w:rPr>
              <w:t>Génération automatique CCTP,</w:t>
            </w:r>
          </w:p>
          <w:p>
            <w:pPr>
              <w:spacing w:before="40" w:after="40"/>
            </w:pPr>
            <w:r>
              <w:rPr>
                <w:rFonts w:ascii="Calibri" w:hAnsi="Calibri"/>
                <w:b w:val="0"/>
                <w:i w:val="0"/>
                <w:color w:val="2D2D2D"/>
                <w:sz w:val="18"/>
              </w:rPr>
              <w:t>rapports CAO, bordereaux de prix</w:t>
            </w:r>
          </w:p>
          <w:p>
            <w:pPr>
              <w:spacing w:before="40" w:after="40"/>
            </w:pPr>
            <w:r>
              <w:rPr>
                <w:rFonts w:ascii="Calibri" w:hAnsi="Calibri"/>
                <w:b w:val="0"/>
                <w:i w:val="0"/>
                <w:color w:val="2D2D2D"/>
                <w:sz w:val="18"/>
              </w:rPr>
              <w:t>3 à 5 clients récurrents visés</w:t>
            </w:r>
          </w:p>
        </w:tc>
        <w:tc>
          <w:tcPr>
            <w:tcW w:type="dxa" w:w="3118"/>
            <w:shd w:val="clear" w:color="auto" w:fill="F0F4F8"/>
          </w:tcPr>
          <w:p/>
          <w:p>
            <w:pPr>
              <w:spacing w:before="40" w:after="40"/>
            </w:pPr>
            <w:r>
              <w:rPr>
                <w:rFonts w:ascii="Calibri" w:hAnsi="Calibri"/>
                <w:b/>
                <w:i w:val="0"/>
                <w:color w:val="2D2D2D"/>
                <w:sz w:val="18"/>
              </w:rPr>
              <w:t>BIMCO = cabinet d'ingénierie</w:t>
            </w:r>
          </w:p>
          <w:p>
            <w:pPr>
              <w:spacing w:before="40" w:after="40"/>
            </w:pPr>
            <w:r>
              <w:rPr>
                <w:rFonts w:ascii="Calibri" w:hAnsi="Calibri"/>
                <w:b w:val="0"/>
                <w:i w:val="0"/>
                <w:color w:val="2D2D2D"/>
                <w:sz w:val="18"/>
              </w:rPr>
              <w:t>BIM + Économie de la construction</w:t>
            </w:r>
          </w:p>
          <w:p>
            <w:pPr>
              <w:spacing w:before="40" w:after="40"/>
            </w:pPr>
            <w:r>
              <w:rPr>
                <w:rFonts w:ascii="Calibri" w:hAnsi="Calibri"/>
                <w:b/>
                <w:i w:val="0"/>
                <w:color w:val="1E3A5F"/>
                <w:sz w:val="18"/>
              </w:rPr>
              <w:t>Axe 1 : Prestations</w:t>
            </w:r>
          </w:p>
          <w:p>
            <w:pPr>
              <w:spacing w:before="40" w:after="40"/>
              <w:ind w:left="170"/>
            </w:pPr>
            <w:r>
              <w:rPr>
                <w:rFonts w:ascii="Calibri" w:hAnsi="Calibri"/>
                <w:b/>
                <w:i w:val="0"/>
                <w:color w:val="1E3A5F"/>
                <w:sz w:val="18"/>
              </w:rPr>
              <w:t xml:space="preserve">▸ </w:t>
            </w:r>
            <w:r>
              <w:rPr>
                <w:rFonts w:ascii="Calibri" w:hAnsi="Calibri"/>
                <w:b w:val="0"/>
                <w:i w:val="0"/>
                <w:color w:val="2D2D2D"/>
                <w:sz w:val="18"/>
              </w:rPr>
              <w:t>Métrés BIM, études de prix</w:t>
            </w:r>
          </w:p>
          <w:p>
            <w:pPr>
              <w:spacing w:before="40" w:after="40"/>
              <w:ind w:left="170"/>
            </w:pPr>
            <w:r>
              <w:rPr>
                <w:rFonts w:ascii="Calibri" w:hAnsi="Calibri"/>
                <w:b/>
                <w:i w:val="0"/>
                <w:color w:val="1E3A5F"/>
                <w:sz w:val="18"/>
              </w:rPr>
              <w:t xml:space="preserve">▸ </w:t>
            </w:r>
            <w:r>
              <w:rPr>
                <w:rFonts w:ascii="Calibri" w:hAnsi="Calibri"/>
                <w:b w:val="0"/>
                <w:i w:val="0"/>
                <w:color w:val="2D2D2D"/>
                <w:sz w:val="18"/>
              </w:rPr>
              <w:t>AMO économique, OPC, analyse offres</w:t>
            </w:r>
          </w:p>
          <w:p>
            <w:pPr>
              <w:spacing w:before="40" w:after="40"/>
            </w:pPr>
            <w:r>
              <w:rPr>
                <w:rFonts w:ascii="Calibri" w:hAnsi="Calibri"/>
                <w:b/>
                <w:i w:val="0"/>
                <w:color w:val="1E3A5F"/>
                <w:sz w:val="18"/>
              </w:rPr>
              <w:t>Axe 2 : Édition d'outils</w:t>
            </w:r>
          </w:p>
          <w:p>
            <w:pPr>
              <w:spacing w:before="40" w:after="40"/>
              <w:ind w:left="170"/>
            </w:pPr>
            <w:r>
              <w:rPr>
                <w:rFonts w:ascii="Calibri" w:hAnsi="Calibri"/>
                <w:b/>
                <w:i w:val="0"/>
                <w:color w:val="1E3A5F"/>
                <w:sz w:val="18"/>
              </w:rPr>
              <w:t xml:space="preserve">▸ </w:t>
            </w:r>
            <w:r>
              <w:rPr>
                <w:rFonts w:ascii="Calibri" w:hAnsi="Calibri"/>
                <w:b w:val="0"/>
                <w:i w:val="0"/>
                <w:color w:val="2D2D2D"/>
                <w:sz w:val="18"/>
              </w:rPr>
              <w:t>SaaS pour économistes MEC</w:t>
            </w:r>
          </w:p>
          <w:p>
            <w:pPr>
              <w:spacing w:before="40" w:after="40"/>
              <w:ind w:left="170"/>
            </w:pPr>
            <w:r>
              <w:rPr>
                <w:rFonts w:ascii="Calibri" w:hAnsi="Calibri"/>
                <w:b/>
                <w:i w:val="0"/>
                <w:color w:val="1E3A5F"/>
                <w:sz w:val="18"/>
              </w:rPr>
              <w:t xml:space="preserve">▸ </w:t>
            </w:r>
            <w:r>
              <w:rPr>
                <w:rFonts w:ascii="Calibri" w:hAnsi="Calibri"/>
                <w:b w:val="0"/>
                <w:i w:val="0"/>
                <w:color w:val="2D2D2D"/>
                <w:sz w:val="18"/>
              </w:rPr>
              <w:t>Plugins Revit distribués</w:t>
            </w:r>
          </w:p>
          <w:p>
            <w:pPr>
              <w:spacing w:before="40" w:after="40"/>
            </w:pPr>
            <w:r>
              <w:rPr>
                <w:rFonts w:ascii="Calibri" w:hAnsi="Calibri"/>
                <w:b w:val="0"/>
                <w:i w:val="0"/>
                <w:color w:val="2D2D2D"/>
                <w:sz w:val="18"/>
              </w:rPr>
              <w:t>Équipe 3-5 — CA 200-300 k€/an</w:t>
            </w:r>
          </w:p>
        </w:tc>
      </w:tr>
    </w:tbl>
    <w:p>
      <w:pPr>
        <w:spacing w:after="160"/>
      </w:pPr>
    </w:p>
    <w:tbl>
      <w:tblPr>
        <w:tblW w:type="auto" w:w="0"/>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5"/>
            <w:shd w:val="clear" w:color="auto" w:fill="FFF8F0"/>
            <w:tcBorders>
              <w:left w:val="single" w:sz="20" w:color="F39200" w:space="0"/>
            </w:tcBorders>
          </w:tcPr>
          <w:p>
            <w:pPr>
              <w:spacing w:before="240" w:after="240"/>
              <w:jc w:val="center"/>
            </w:pPr>
            <w:r>
              <w:rPr>
                <w:rFonts w:ascii="Calibri" w:hAnsi="Calibri"/>
                <w:b/>
                <w:i w:val="0"/>
                <w:color w:val="1E3A5F"/>
                <w:sz w:val="20"/>
              </w:rPr>
              <w:t>« Les outils numériques doivent être au service de l'économiste de la construction, et non l'inverse. »</w:t>
            </w:r>
          </w:p>
        </w:tc>
      </w:tr>
    </w:tbl>
    <w:p>
      <w:r>
        <w:br/>
        <w:br w:type="page"/>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4"/>
            <w:shd w:val="clear" w:color="auto" w:fill="0F1B2D"/>
          </w:tcPr>
          <w:p>
            <w:pPr>
              <w:spacing w:before="160" w:after="160"/>
              <w:jc w:val="left"/>
            </w:pPr>
            <w:r>
              <w:rPr>
                <w:rFonts w:ascii="Calibri" w:hAnsi="Calibri"/>
                <w:b/>
                <w:i w:val="0"/>
                <w:color w:val="FFFFFF"/>
                <w:sz w:val="32"/>
              </w:rPr>
              <w:t>CONCLUSION</w:t>
            </w:r>
          </w:p>
        </w:tc>
      </w:tr>
    </w:tbl>
    <w:p/>
    <w:p>
      <w:pPr>
        <w:spacing w:before="0" w:after="200"/>
        <w:jc w:val="both"/>
      </w:pPr>
      <w:r>
        <w:rPr>
          <w:rFonts w:ascii="Calibri" w:hAnsi="Calibri"/>
          <w:b w:val="0"/>
          <w:i w:val="0"/>
          <w:color w:val="2D2D2D"/>
          <w:sz w:val="21"/>
        </w:rPr>
        <w:t>Ce rapport est avant tout une démonstration. Non pas de ce que je sais, mais de comment je résous un problème sous contrainte — délai, budget, aléas géologiques, coordination de crise. À chaque situation, j'ai dû trouver la bonne réponse avec les moyens disponibles. Ce que j'ai construit en huit ans, c'est une méthode. Le BTS MEC lui donne un cadre formel. BIMCO lui donne une continuation.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5"/>
            <w:shd w:val="clear" w:color="auto" w:fill="F39200"/>
          </w:tcPr>
          <w:p>
            <w:pPr>
              <w:spacing w:before="80" w:after="80"/>
            </w:pPr>
            <w:r>
              <w:rPr>
                <w:rFonts w:ascii="Calibri" w:hAnsi="Calibri"/>
                <w:b/>
                <w:i w:val="0"/>
                <w:color w:val="FFFFFF"/>
                <w:sz w:val="20"/>
              </w:rPr>
              <w:t>CHIFFRES CLÉS DU PARCOURS</w:t>
            </w:r>
          </w:p>
        </w:tc>
      </w:tr>
    </w:tbl>
    <w:p>
      <w:pPr>
        <w:spacing w:after="80"/>
      </w:pPr>
    </w:p>
    <w:tbl>
      <w:tblPr>
        <w:tblW w:type="auto" w:w="0"/>
        <w:tblLook w:firstColumn="1" w:firstRow="1" w:lastColumn="0" w:lastRow="0" w:noHBand="0" w:noVBand="1" w:val="04A0"/>
        <w:tblBorders>
          <w:top w:val="none"/>
          <w:left w:val="none"/>
          <w:bottom w:val="none"/>
          <w:right w:val="none"/>
          <w:insideH w:val="none"/>
          <w:insideV w:val="none"/>
        </w:tblBorders>
      </w:tblPr>
      <w:tblGrid>
        <w:gridCol w:w="1871"/>
        <w:gridCol w:w="1871"/>
        <w:gridCol w:w="1871"/>
        <w:gridCol w:w="1871"/>
        <w:gridCol w:w="1871"/>
      </w:tblGrid>
      <w:tr>
        <w:tc>
          <w:tcPr>
            <w:tcW w:type="dxa" w:w="1871"/>
            <w:shd w:val="clear" w:color="auto" w:fill="F39200"/>
          </w:tcPr>
          <w:p>
            <w:pPr>
              <w:spacing w:before="160" w:after="80"/>
              <w:jc w:val="center"/>
            </w:pPr>
            <w:r>
              <w:rPr>
                <w:rFonts w:ascii="Calibri" w:hAnsi="Calibri"/>
                <w:b/>
                <w:i w:val="0"/>
                <w:color w:val="FFFFFF"/>
                <w:sz w:val="32"/>
              </w:rPr>
              <w:t>3,2%</w:t>
            </w:r>
          </w:p>
          <w:p>
            <w:pPr>
              <w:spacing w:before="0" w:after="160"/>
              <w:jc w:val="center"/>
            </w:pPr>
            <w:r>
              <w:rPr>
                <w:rFonts w:ascii="Calibri" w:hAnsi="Calibri"/>
                <w:b w:val="0"/>
                <w:i w:val="0"/>
                <w:color w:val="FFEECC"/>
                <w:sz w:val="16"/>
              </w:rPr>
              <w:t>Écart estimation</w:t>
            </w:r>
          </w:p>
        </w:tc>
        <w:tc>
          <w:tcPr>
            <w:tcW w:type="dxa" w:w="1871"/>
            <w:shd w:val="clear" w:color="auto" w:fill="1E3A5F"/>
          </w:tcPr>
          <w:p>
            <w:pPr>
              <w:spacing w:before="160" w:after="80"/>
              <w:jc w:val="center"/>
            </w:pPr>
            <w:r>
              <w:rPr>
                <w:rFonts w:ascii="Calibri" w:hAnsi="Calibri"/>
                <w:b/>
                <w:i w:val="0"/>
                <w:color w:val="FFFFFF"/>
                <w:sz w:val="32"/>
              </w:rPr>
              <w:t>94/100</w:t>
            </w:r>
          </w:p>
          <w:p>
            <w:pPr>
              <w:spacing w:before="0" w:after="160"/>
              <w:jc w:val="center"/>
            </w:pPr>
            <w:r>
              <w:rPr>
                <w:rFonts w:ascii="Calibri" w:hAnsi="Calibri"/>
                <w:b w:val="0"/>
                <w:i w:val="0"/>
                <w:color w:val="FFEECC"/>
                <w:sz w:val="16"/>
              </w:rPr>
              <w:t>Note en CAO</w:t>
            </w:r>
          </w:p>
        </w:tc>
        <w:tc>
          <w:tcPr>
            <w:tcW w:type="dxa" w:w="1871"/>
            <w:shd w:val="clear" w:color="auto" w:fill="5CC8C0"/>
          </w:tcPr>
          <w:p>
            <w:pPr>
              <w:spacing w:before="160" w:after="80"/>
              <w:jc w:val="center"/>
            </w:pPr>
            <w:r>
              <w:rPr>
                <w:rFonts w:ascii="Calibri" w:hAnsi="Calibri"/>
                <w:b/>
                <w:i w:val="0"/>
                <w:color w:val="FFFFFF"/>
                <w:sz w:val="32"/>
              </w:rPr>
              <w:t>+0,8%</w:t>
            </w:r>
          </w:p>
          <w:p>
            <w:pPr>
              <w:spacing w:before="0" w:after="160"/>
              <w:jc w:val="center"/>
            </w:pPr>
            <w:r>
              <w:rPr>
                <w:rFonts w:ascii="Calibri" w:hAnsi="Calibri"/>
                <w:b w:val="0"/>
                <w:i w:val="0"/>
                <w:color w:val="FFEECC"/>
                <w:sz w:val="16"/>
              </w:rPr>
              <w:t>Dépassement final</w:t>
            </w:r>
          </w:p>
        </w:tc>
        <w:tc>
          <w:tcPr>
            <w:tcW w:type="dxa" w:w="1871"/>
            <w:shd w:val="clear" w:color="auto" w:fill="C0392B"/>
          </w:tcPr>
          <w:p>
            <w:pPr>
              <w:spacing w:before="160" w:after="80"/>
              <w:jc w:val="center"/>
            </w:pPr>
            <w:r>
              <w:rPr>
                <w:rFonts w:ascii="Calibri" w:hAnsi="Calibri"/>
                <w:b/>
                <w:i w:val="0"/>
                <w:color w:val="FFFFFF"/>
                <w:sz w:val="32"/>
              </w:rPr>
              <w:t>48 h</w:t>
            </w:r>
          </w:p>
          <w:p>
            <w:pPr>
              <w:spacing w:before="0" w:after="160"/>
              <w:jc w:val="center"/>
            </w:pPr>
            <w:r>
              <w:rPr>
                <w:rFonts w:ascii="Calibri" w:hAnsi="Calibri"/>
                <w:b w:val="0"/>
                <w:i w:val="0"/>
                <w:color w:val="FFEECC"/>
                <w:sz w:val="16"/>
              </w:rPr>
              <w:t>3 crises résolues</w:t>
            </w:r>
          </w:p>
        </w:tc>
        <w:tc>
          <w:tcPr>
            <w:tcW w:type="dxa" w:w="1871"/>
            <w:shd w:val="clear" w:color="auto" w:fill="F39200"/>
          </w:tcPr>
          <w:p>
            <w:pPr>
              <w:spacing w:before="160" w:after="80"/>
              <w:jc w:val="center"/>
            </w:pPr>
            <w:r>
              <w:rPr>
                <w:rFonts w:ascii="Calibri" w:hAnsi="Calibri"/>
                <w:b/>
                <w:i w:val="0"/>
                <w:color w:val="FFFFFF"/>
                <w:sz w:val="32"/>
              </w:rPr>
              <w:t>0 avt</w:t>
            </w:r>
          </w:p>
          <w:p>
            <w:pPr>
              <w:spacing w:before="0" w:after="160"/>
              <w:jc w:val="center"/>
            </w:pPr>
            <w:r>
              <w:rPr>
                <w:rFonts w:ascii="Calibri" w:hAnsi="Calibri"/>
                <w:b w:val="0"/>
                <w:i w:val="0"/>
                <w:color w:val="FFEECC"/>
                <w:sz w:val="16"/>
              </w:rPr>
              <w:t>Avenant cubatures</w:t>
            </w:r>
          </w:p>
        </w:tc>
      </w:tr>
    </w:tbl>
    <w:p>
      <w:pPr>
        <w:spacing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5"/>
            <w:shd w:val="clear" w:color="auto" w:fill="1E3A5F"/>
          </w:tcPr>
          <w:p>
            <w:pPr>
              <w:spacing w:before="80" w:after="80"/>
            </w:pPr>
            <w:r>
              <w:rPr>
                <w:rFonts w:ascii="Calibri" w:hAnsi="Calibri"/>
                <w:b/>
                <w:i w:val="0"/>
                <w:color w:val="FFFFFF"/>
                <w:sz w:val="20"/>
              </w:rPr>
              <w:t>ENSEIGNEMENTS PRINCIPAUX</w:t>
            </w:r>
          </w:p>
        </w:tc>
      </w:tr>
    </w:tbl>
    <w:p>
      <w:pPr>
        <w:spacing w:after="80"/>
      </w:pPr>
    </w:p>
    <w:p>
      <w:pPr>
        <w:spacing w:before="40" w:after="40"/>
        <w:ind w:left="283"/>
      </w:pPr>
      <w:r>
        <w:rPr>
          <w:rFonts w:ascii="Calibri" w:hAnsi="Calibri"/>
          <w:b/>
          <w:i w:val="0"/>
          <w:color w:val="F39200"/>
          <w:sz w:val="20"/>
        </w:rPr>
        <w:t xml:space="preserve">▸  </w:t>
      </w:r>
      <w:r>
        <w:rPr>
          <w:rFonts w:ascii="Calibri" w:hAnsi="Calibri"/>
          <w:b w:val="0"/>
          <w:i w:val="0"/>
          <w:color w:val="2D2D2D"/>
          <w:sz w:val="20"/>
        </w:rPr>
        <w:t>Cinq compétences construites sur le terrain : Estimer, analyser les offres, suivre financièrement, coordonner en crise, contrôler les quantités — cinq réflexes professionnels acquis par la pratique, pas par la théorie</w:t>
      </w:r>
    </w:p>
    <w:p>
      <w:pPr>
        <w:spacing w:before="40" w:after="40"/>
        <w:ind w:left="283"/>
      </w:pPr>
      <w:r>
        <w:rPr>
          <w:rFonts w:ascii="Calibri" w:hAnsi="Calibri"/>
          <w:b/>
          <w:i w:val="0"/>
          <w:color w:val="F39200"/>
          <w:sz w:val="20"/>
        </w:rPr>
        <w:t xml:space="preserve">▸  </w:t>
      </w:r>
      <w:r>
        <w:rPr>
          <w:rFonts w:ascii="Calibri" w:hAnsi="Calibri"/>
          <w:b w:val="0"/>
          <w:i w:val="0"/>
          <w:color w:val="2D2D2D"/>
          <w:sz w:val="20"/>
        </w:rPr>
        <w:t>Une double lecture des projets : Côté maîtrise d'ouvrage au Maroc, côté exécution en France — comprendre les enjeux des deux côtés de la table change profondément la façon d'estimer et de négocier</w:t>
      </w:r>
    </w:p>
    <w:p>
      <w:pPr>
        <w:spacing w:before="40" w:after="40"/>
        <w:ind w:left="283"/>
      </w:pPr>
      <w:r>
        <w:rPr>
          <w:rFonts w:ascii="Calibri" w:hAnsi="Calibri"/>
          <w:b/>
          <w:i w:val="0"/>
          <w:color w:val="F39200"/>
          <w:sz w:val="20"/>
        </w:rPr>
        <w:t xml:space="preserve">▸  </w:t>
      </w:r>
      <w:r>
        <w:rPr>
          <w:rFonts w:ascii="Calibri" w:hAnsi="Calibri"/>
          <w:b w:val="0"/>
          <w:i w:val="0"/>
          <w:color w:val="2D2D2D"/>
          <w:sz w:val="20"/>
        </w:rPr>
        <w:t>La rigueur de l'écrit comme protection : Ordres de service, attachements contradictoires, comptes-rendus consolidés : la trace écrite est le seul rempart réel contre les litiges en cours de chantier</w:t>
      </w:r>
    </w:p>
    <w:p>
      <w:pPr>
        <w:spacing w:before="40" w:after="40"/>
        <w:ind w:left="283"/>
      </w:pPr>
      <w:r>
        <w:rPr>
          <w:rFonts w:ascii="Calibri" w:hAnsi="Calibri"/>
          <w:b/>
          <w:i w:val="0"/>
          <w:color w:val="F39200"/>
          <w:sz w:val="20"/>
        </w:rPr>
        <w:t xml:space="preserve">▸  </w:t>
      </w:r>
      <w:r>
        <w:rPr>
          <w:rFonts w:ascii="Calibri" w:hAnsi="Calibri"/>
          <w:b w:val="0"/>
          <w:i w:val="0"/>
          <w:color w:val="2D2D2D"/>
          <w:sz w:val="20"/>
        </w:rPr>
        <w:t>BIMCO : la traduction de ce parcours : Un bureau où la rigueur du terrain rencontre les outils numériques — parce que le chiffrage mérite d'être aussi précis que la construction</w:t>
      </w:r>
    </w:p>
    <w:p>
      <w:pPr>
        <w:spacing w:after="200"/>
      </w:pPr>
    </w:p>
    <w:tbl>
      <w:tblPr>
        <w:tblW w:type="auto" w:w="0"/>
        <w:tblLook w:firstColumn="1" w:firstRow="1" w:lastColumn="0" w:lastRow="0" w:noHBand="0" w:noVBand="1" w:val="04A0"/>
        <w:tblBorders>
          <w:top w:val="none"/>
          <w:left w:val="none"/>
          <w:bottom w:val="none"/>
          <w:right w:val="none"/>
          <w:insideH w:val="none"/>
          <w:insideV w:val="none"/>
        </w:tblBorders>
      </w:tblPr>
      <w:tblGrid>
        <w:gridCol w:w="9355"/>
      </w:tblGrid>
      <w:tr>
        <w:tc>
          <w:tcPr>
            <w:tcW w:type="dxa" w:w="9355"/>
            <w:shd w:val="clear" w:color="auto" w:fill="0F1B2D"/>
          </w:tcPr>
          <w:p>
            <w:pPr>
              <w:spacing w:before="280" w:after="120"/>
              <w:jc w:val="center"/>
            </w:pPr>
            <w:r>
              <w:rPr>
                <w:rFonts w:ascii="Calibri" w:hAnsi="Calibri"/>
                <w:b/>
                <w:i w:val="0"/>
                <w:color w:val="FFFFFF"/>
                <w:sz w:val="20"/>
              </w:rPr>
              <w:t>« Le BTS MEC ne valide pas seulement un diplôme. Il valide huit ans de terrain, de chiffres et de chantier. Et il ouvre la voie à ce que je veux construire : des outils qui changent le quotidien de l'économiste. »</w:t>
            </w:r>
          </w:p>
          <w:p>
            <w:pPr>
              <w:spacing w:before="80" w:after="280"/>
              <w:jc w:val="center"/>
            </w:pPr>
            <w:r>
              <w:rPr>
                <w:rFonts w:ascii="Calibri" w:hAnsi="Calibri"/>
                <w:b w:val="0"/>
                <w:i w:val="0"/>
                <w:color w:val="7799BB"/>
                <w:sz w:val="16"/>
              </w:rPr>
              <w:t>BAHAFID Mohamed | BIMCO | BTS MEC Session 2026 | Académie de Lyon</w:t>
            </w:r>
          </w:p>
        </w:tc>
      </w:tr>
    </w:tbl>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